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pageBreakBefore w:val="0"/>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highlight w:val="yellow"/>
          <w:rtl w:val="0"/>
        </w:rPr>
        <w:t xml:space="preserve">Scheme Name</w:t>
      </w:r>
      <w:r w:rsidDel="00000000" w:rsidR="00000000" w:rsidRPr="00000000">
        <w:rPr>
          <w:rtl w:val="0"/>
        </w:rPr>
      </w:r>
    </w:p>
    <w:p w:rsidR="00000000" w:rsidDel="00000000" w:rsidP="00000000" w:rsidRDefault="00000000" w:rsidRPr="00000000" w14:paraId="00000003">
      <w:pPr>
        <w:pageBreakBefore w:val="0"/>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pageBreakBefore w:val="0"/>
        <w:rPr>
          <w:rFonts w:ascii="Arial" w:cs="Arial" w:eastAsia="Arial" w:hAnsi="Arial"/>
        </w:rPr>
      </w:pPr>
      <w:r w:rsidDel="00000000" w:rsidR="00000000" w:rsidRPr="00000000">
        <w:rPr>
          <w:rFonts w:ascii="Arial" w:cs="Arial" w:eastAsia="Arial" w:hAnsi="Arial"/>
          <w:highlight w:val="yellow"/>
          <w:rtl w:val="0"/>
        </w:rPr>
        <w:t xml:space="preserve">Trustee Name</w:t>
      </w:r>
      <w:r w:rsidDel="00000000" w:rsidR="00000000" w:rsidRPr="00000000">
        <w:rPr>
          <w:rFonts w:ascii="Arial" w:cs="Arial" w:eastAsia="Arial" w:hAnsi="Arial"/>
          <w:rtl w:val="0"/>
        </w:rPr>
        <w:t xml:space="preserve"> acting as Trustee/s of the </w:t>
      </w:r>
      <w:r w:rsidDel="00000000" w:rsidR="00000000" w:rsidRPr="00000000">
        <w:rPr>
          <w:rFonts w:ascii="Arial" w:cs="Arial" w:eastAsia="Arial" w:hAnsi="Arial"/>
          <w:highlight w:val="yellow"/>
          <w:rtl w:val="0"/>
        </w:rPr>
        <w:t xml:space="preserve">Scheme Name</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pageBreakBefore w:val="0"/>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pageBreakBefore w:val="0"/>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Initial 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pageBreakBefore w:val="0"/>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pageBreakBefore w:val="0"/>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pageBreakBefore w:val="0"/>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pageBreakBefore w:val="0"/>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pageBreakBefore w:val="0"/>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Supplier will provide a digital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8">
      <w:pPr>
        <w:pageBreakBefore w:val="0"/>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9">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A">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B">
      <w:pPr>
        <w:pageBreakBefore w:val="0"/>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the 1st Trustee cited in the Trust Deed and Rules, or their successors. </w:t>
      </w:r>
      <w:r w:rsidDel="00000000" w:rsidR="00000000" w:rsidRPr="00000000">
        <w:rPr>
          <w:rFonts w:ascii="Arial" w:cs="Arial" w:eastAsia="Arial" w:hAnsi="Arial"/>
          <w:rtl w:val="0"/>
        </w:rPr>
        <w:br w:type="textWrapping"/>
      </w:r>
    </w:p>
    <w:p w:rsidR="00000000" w:rsidDel="00000000" w:rsidP="00000000" w:rsidRDefault="00000000" w:rsidRPr="00000000" w14:paraId="0000001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E">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 via it’s software systems..</w:t>
      </w:r>
    </w:p>
    <w:p w:rsidR="00000000" w:rsidDel="00000000" w:rsidP="00000000" w:rsidRDefault="00000000" w:rsidRPr="00000000" w14:paraId="0000001F">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20">
      <w:pPr>
        <w:pageBreakBefore w:val="0"/>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pageBreakBefore w:val="0"/>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3">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pageBreakBefore w:val="0"/>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pageBreakBefore w:val="0"/>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pageBreakBefore w:val="0"/>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pageBreakBefore w:val="0"/>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A">
      <w:pPr>
        <w:pageBreakBefore w:val="0"/>
        <w:rPr>
          <w:rFonts w:ascii="Arial" w:cs="Arial" w:eastAsia="Arial" w:hAnsi="Arial"/>
        </w:rPr>
      </w:pPr>
      <w:r w:rsidDel="00000000" w:rsidR="00000000" w:rsidRPr="00000000">
        <w:rPr>
          <w:rFonts w:ascii="Arial" w:cs="Arial" w:eastAsia="Arial" w:hAnsi="Arial"/>
          <w:rtl w:val="0"/>
        </w:rPr>
        <w:t xml:space="preserve">The Supplier will provide general guidance on the technical operation of the Scheme as and when reasonably requested by the Trustees.</w:t>
      </w:r>
    </w:p>
    <w:p w:rsidR="00000000" w:rsidDel="00000000" w:rsidP="00000000" w:rsidRDefault="00000000" w:rsidRPr="00000000" w14:paraId="0000002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C">
      <w:pPr>
        <w:pageBreakBefore w:val="0"/>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D">
      <w:pPr>
        <w:pageBreakBefore w:val="0"/>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legislation. The Supplier will only provide specific details on how such legislation and guidance.</w:t>
      </w:r>
    </w:p>
    <w:p w:rsidR="00000000" w:rsidDel="00000000" w:rsidP="00000000" w:rsidRDefault="00000000" w:rsidRPr="00000000" w14:paraId="0000002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0">
      <w:pPr>
        <w:pageBreakBefore w:val="0"/>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via it’s software systems. The payment of levies and associated disbursements in the performance of this work shall be paid directly from the Trustees bank account and or Principal Employer.</w:t>
      </w:r>
    </w:p>
    <w:p w:rsidR="00000000" w:rsidDel="00000000" w:rsidP="00000000" w:rsidRDefault="00000000" w:rsidRPr="00000000" w14:paraId="0000003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2">
      <w:pPr>
        <w:pageBreakBefore w:val="0"/>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3">
      <w:pPr>
        <w:pageBreakBefore w:val="0"/>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 using it’s software systems..</w:t>
      </w:r>
    </w:p>
    <w:p w:rsidR="00000000" w:rsidDel="00000000" w:rsidP="00000000" w:rsidRDefault="00000000" w:rsidRPr="00000000" w14:paraId="0000003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5">
      <w:pPr>
        <w:pageBreakBefore w:val="0"/>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6">
      <w:pPr>
        <w:pageBreakBefore w:val="0"/>
        <w:rPr>
          <w:rFonts w:ascii="Arial" w:cs="Arial" w:eastAsia="Arial" w:hAnsi="Arial"/>
        </w:rPr>
      </w:pPr>
      <w:r w:rsidDel="00000000" w:rsidR="00000000" w:rsidRPr="00000000">
        <w:rPr>
          <w:rFonts w:ascii="Arial" w:cs="Arial" w:eastAsia="Arial" w:hAnsi="Arial"/>
          <w:rtl w:val="0"/>
        </w:rPr>
        <w:t xml:space="preserve">The Supplier shall operate a software payroll facility for the payment of pensions and shall, where instructed by the Trustees pay the taxes due on those payments when such payments become due via it’s systems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38">
      <w:pPr>
        <w:pageBreakBefore w:val="0"/>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9">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software and its applications and use it subject to the terms and conditions of this Agreement.</w:t>
      </w:r>
    </w:p>
    <w:p w:rsidR="00000000" w:rsidDel="00000000" w:rsidP="00000000" w:rsidRDefault="00000000" w:rsidRPr="00000000" w14:paraId="0000003A">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B">
      <w:pPr>
        <w:pageBreakBefore w:val="0"/>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C">
      <w:pPr>
        <w:pageBreakBefore w:val="0"/>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D">
      <w:pPr>
        <w:pageBreakBefore w:val="0"/>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E">
      <w:pPr>
        <w:pageBreakBefore w:val="0"/>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F">
      <w:pPr>
        <w:pageBreakBefore w:val="0"/>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4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1">
      <w:pPr>
        <w:pageBreakBefore w:val="0"/>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2">
      <w:pPr>
        <w:pageBreakBefore w:val="0"/>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43">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4">
      <w:pPr>
        <w:pageBreakBefore w:val="0"/>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5">
      <w:pPr>
        <w:pageBreakBefore w:val="0"/>
        <w:rPr>
          <w:rFonts w:ascii="Arial" w:cs="Arial" w:eastAsia="Arial" w:hAnsi="Arial"/>
        </w:rPr>
      </w:pPr>
      <w:r w:rsidDel="00000000" w:rsidR="00000000" w:rsidRPr="00000000">
        <w:rPr>
          <w:rFonts w:ascii="Arial" w:cs="Arial" w:eastAsia="Arial" w:hAnsi="Arial"/>
          <w:rtl w:val="0"/>
        </w:rPr>
        <w:t xml:space="preserve">D. The Establishment Charge is paid on signing of the Scheme Registration documents and the Administration Charge is payable on tax registration of the Scheme. </w:t>
      </w:r>
    </w:p>
    <w:p w:rsidR="00000000" w:rsidDel="00000000" w:rsidP="00000000" w:rsidRDefault="00000000" w:rsidRPr="00000000" w14:paraId="0000004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7">
      <w:pPr>
        <w:pageBreakBefore w:val="0"/>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8">
      <w:pPr>
        <w:pageBreakBefore w:val="0"/>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4B">
      <w:pPr>
        <w:pageBreakBefore w:val="0"/>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C">
      <w:pPr>
        <w:pageBreakBefore w:val="0"/>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D">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E">
      <w:pPr>
        <w:pageBreakBefore w:val="0"/>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F">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0">
      <w:pPr>
        <w:pageBreakBefore w:val="0"/>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51">
      <w:pPr>
        <w:pageBreakBefore w:val="0"/>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52">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3">
      <w:pPr>
        <w:pageBreakBefore w:val="0"/>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4">
      <w:pPr>
        <w:pageBreakBefore w:val="0"/>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5">
      <w:pPr>
        <w:pageBreakBefore w:val="0"/>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6">
      <w:pPr>
        <w:pageBreakBefore w:val="0"/>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7">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8">
      <w:pPr>
        <w:pageBreakBefore w:val="0"/>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9">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A">
      <w:pPr>
        <w:pageBreakBefore w:val="0"/>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B">
      <w:pPr>
        <w:pageBreakBefore w:val="0"/>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C">
      <w:pPr>
        <w:pageBreakBefore w:val="0"/>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D">
      <w:pPr>
        <w:pageBreakBefore w:val="0"/>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E">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F">
      <w:pPr>
        <w:pageBreakBefore w:val="0"/>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60">
      <w:pPr>
        <w:pageBreakBefore w:val="0"/>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61">
      <w:pPr>
        <w:pageBreakBefore w:val="0"/>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62">
      <w:pPr>
        <w:pageBreakBefore w:val="0"/>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3">
      <w:pPr>
        <w:pageBreakBefore w:val="0"/>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4">
      <w:pPr>
        <w:pageBreakBefore w:val="0"/>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5">
      <w:pPr>
        <w:pageBreakBefore w:val="0"/>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6">
      <w:pPr>
        <w:pageBreakBefore w:val="0"/>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7">
      <w:pPr>
        <w:pageBreakBefore w:val="0"/>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8">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D">
      <w:pPr>
        <w:pageBreakBefore w:val="0"/>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6F">
      <w:pPr>
        <w:pageBreakBefore w:val="0"/>
        <w:rPr>
          <w:rFonts w:ascii="Arial" w:cs="Arial" w:eastAsia="Arial" w:hAnsi="Arial"/>
        </w:rPr>
      </w:pPr>
      <w:r w:rsidDel="00000000" w:rsidR="00000000" w:rsidRPr="00000000">
        <w:rPr>
          <w:rFonts w:ascii="Arial" w:cs="Arial" w:eastAsia="Arial" w:hAnsi="Arial"/>
          <w:highlight w:val="yellow"/>
          <w:rtl w:val="0"/>
        </w:rPr>
        <w:t xml:space="preserve">Trustee Name</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1">
      <w:pPr>
        <w:pageBreakBefore w:val="0"/>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4">
      <w:pPr>
        <w:pageBreakBefore w:val="0"/>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b w:val="1"/>
          <w:rtl w:val="0"/>
        </w:rPr>
        <w:t xml:space="preserve">For Retirement Capital</w:t>
      </w:r>
      <w:r w:rsidDel="00000000" w:rsidR="00000000" w:rsidRPr="00000000">
        <w:rPr>
          <w:rtl w:val="0"/>
        </w:rPr>
      </w:r>
    </w:p>
    <w:p w:rsidR="00000000" w:rsidDel="00000000" w:rsidP="00000000" w:rsidRDefault="00000000" w:rsidRPr="00000000" w14:paraId="0000007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B">
      <w:pPr>
        <w:pageBreakBefore w:val="0"/>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b w:val="1"/>
        </w:rPr>
      </w:pPr>
      <w:r w:rsidDel="00000000" w:rsidR="00000000" w:rsidRPr="00000000">
        <w:rPr>
          <w:rFonts w:ascii="Arial" w:cs="Arial" w:eastAsia="Arial" w:hAnsi="Arial"/>
          <w:b w:val="1"/>
          <w:rtl w:val="0"/>
        </w:rPr>
        <w:t xml:space="preserve">For RC Administration Ltd</w:t>
      </w:r>
    </w:p>
    <w:p w:rsidR="00000000" w:rsidDel="00000000" w:rsidP="00000000" w:rsidRDefault="00000000" w:rsidRPr="00000000" w14:paraId="0000007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6">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8">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9">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A">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8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92">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3">
      <w:pPr>
        <w:pageBreakBefore w:val="0"/>
        <w:jc w:val="center"/>
        <w:rPr>
          <w:rFonts w:ascii="Arial" w:cs="Arial" w:eastAsia="Arial" w:hAnsi="Arial"/>
        </w:rPr>
      </w:pPr>
      <w:r w:rsidDel="00000000" w:rsidR="00000000" w:rsidRPr="00000000">
        <w:rPr>
          <w:rFonts w:ascii="Arial" w:cs="Arial" w:eastAsia="Arial" w:hAnsi="Arial"/>
          <w:highlight w:val="yellow"/>
          <w:rtl w:val="0"/>
        </w:rPr>
        <w:t xml:space="preserve">£900.00</w:t>
      </w:r>
      <w:r w:rsidDel="00000000" w:rsidR="00000000" w:rsidRPr="00000000">
        <w:rPr>
          <w:rFonts w:ascii="Arial" w:cs="Arial" w:eastAsia="Arial" w:hAnsi="Arial"/>
          <w:rtl w:val="0"/>
        </w:rPr>
        <w:t xml:space="preserve"> scheme set up fee. </w:t>
      </w:r>
    </w:p>
    <w:p w:rsidR="00000000" w:rsidDel="00000000" w:rsidP="00000000" w:rsidRDefault="00000000" w:rsidRPr="00000000" w14:paraId="00000094">
      <w:pPr>
        <w:pageBreakBefore w:val="0"/>
        <w:jc w:val="center"/>
        <w:rPr>
          <w:rFonts w:ascii="Arial" w:cs="Arial" w:eastAsia="Arial" w:hAnsi="Arial"/>
        </w:rPr>
      </w:pPr>
      <w:r w:rsidDel="00000000" w:rsidR="00000000" w:rsidRPr="00000000">
        <w:rPr>
          <w:rFonts w:ascii="Arial" w:cs="Arial" w:eastAsia="Arial" w:hAnsi="Arial"/>
          <w:highlight w:val="yellow"/>
          <w:rtl w:val="0"/>
        </w:rPr>
        <w:t xml:space="preserve">£900.00</w:t>
      </w:r>
      <w:r w:rsidDel="00000000" w:rsidR="00000000" w:rsidRPr="00000000">
        <w:rPr>
          <w:rFonts w:ascii="Arial" w:cs="Arial" w:eastAsia="Arial" w:hAnsi="Arial"/>
          <w:rtl w:val="0"/>
        </w:rPr>
        <w:t xml:space="preserve"> p.a. online administration services from the date of scheme tax registration or association of scheme administrator with online services.</w:t>
      </w:r>
    </w:p>
    <w:p w:rsidR="00000000" w:rsidDel="00000000" w:rsidP="00000000" w:rsidRDefault="00000000" w:rsidRPr="00000000" w14:paraId="0000009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96">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7">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8">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9">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A">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B">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C">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D">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E">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9F">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0">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1">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2">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3">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4">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5">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6">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0A7">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9">
      <w:pPr>
        <w:pageBreakBefore w:val="0"/>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pageBreakBefore w:val="0"/>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B">
      <w:pPr>
        <w:pageBreakBefore w:val="0"/>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C">
      <w:pPr>
        <w:pageBreakBefore w:val="0"/>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D">
      <w:pPr>
        <w:pageBreakBefore w:val="0"/>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E">
      <w:pPr>
        <w:pageBreakBefore w:val="0"/>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F">
      <w:pPr>
        <w:pageBreakBefore w:val="0"/>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0">
      <w:pPr>
        <w:pageBreakBefore w:val="0"/>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1">
      <w:pPr>
        <w:pageBreakBefore w:val="0"/>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2">
      <w:pPr>
        <w:pageBreakBefore w:val="0"/>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3">
      <w:pPr>
        <w:pageBreakBefore w:val="0"/>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4">
      <w:pPr>
        <w:pageBreakBefore w:val="0"/>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5">
      <w:pPr>
        <w:pageBreakBefore w:val="0"/>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6">
      <w:pPr>
        <w:pageBreakBefore w:val="0"/>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7">
      <w:pPr>
        <w:pageBreakBefore w:val="0"/>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8">
      <w:pPr>
        <w:pageBreakBefore w:val="0"/>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9">
      <w:pPr>
        <w:pageBreakBefore w:val="0"/>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A">
      <w:pPr>
        <w:pageBreakBefore w:val="0"/>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17.    Governing law</w:t>
      </w:r>
    </w:p>
    <w:p w:rsidR="00000000" w:rsidDel="00000000" w:rsidP="00000000" w:rsidRDefault="00000000" w:rsidRPr="00000000" w14:paraId="000000B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D">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E">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BF">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0">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4">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C5">
      <w:pPr>
        <w:pageBreakBefore w:val="0"/>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6">
      <w:pPr>
        <w:pageBreakBefore w:val="0"/>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7">
      <w:pPr>
        <w:pageBreakBefore w:val="0"/>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8">
      <w:pPr>
        <w:pageBreakBefore w:val="0"/>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9">
      <w:pPr>
        <w:pageBreakBefore w:val="0"/>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A">
      <w:pPr>
        <w:pageBreakBefore w:val="0"/>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B">
      <w:pPr>
        <w:pageBreakBefore w:val="0"/>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C">
      <w:pPr>
        <w:pageBreakBefore w:val="0"/>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D">
      <w:pPr>
        <w:pageBreakBefore w:val="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CE">
      <w:pPr>
        <w:pageBreakBefore w:val="0"/>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CF">
      <w:pPr>
        <w:pageBreakBefore w:val="0"/>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0">
      <w:pPr>
        <w:pageBreakBefore w:val="0"/>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1">
      <w:pPr>
        <w:pageBreakBefore w:val="0"/>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2">
      <w:pPr>
        <w:pageBreakBefore w:val="0"/>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3">
      <w:pPr>
        <w:pageBreakBefore w:val="0"/>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4">
      <w:pPr>
        <w:pageBreakBefore w:val="0"/>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5">
      <w:pPr>
        <w:pageBreakBefore w:val="0"/>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6">
      <w:pPr>
        <w:pageBreakBefore w:val="0"/>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7">
      <w:pPr>
        <w:pageBreakBefore w:val="0"/>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8">
      <w:pPr>
        <w:pageBreakBefore w:val="0"/>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9">
      <w:pPr>
        <w:pageBreakBefore w:val="0"/>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A">
      <w:pPr>
        <w:pageBreakBefore w:val="0"/>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B">
      <w:pPr>
        <w:pageBreakBefore w:val="0"/>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C">
      <w:pPr>
        <w:pageBreakBefore w:val="0"/>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D">
      <w:pPr>
        <w:pageBreakBefore w:val="0"/>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DE">
      <w:pPr>
        <w:pageBreakBefore w:val="0"/>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DF">
      <w:pPr>
        <w:pageBreakBefore w:val="0"/>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0">
      <w:pPr>
        <w:pageBreakBefore w:val="0"/>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1">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E2">
      <w:pPr>
        <w:pageBreakBefore w:val="0"/>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3">
      <w:pPr>
        <w:pageBreakBefore w:val="0"/>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4">
      <w:pPr>
        <w:pageBreakBefore w:val="0"/>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5">
      <w:pPr>
        <w:pageBreakBefore w:val="0"/>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6">
      <w:pPr>
        <w:pageBreakBefore w:val="0"/>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7">
      <w:pPr>
        <w:pageBreakBefore w:val="0"/>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8">
      <w:pPr>
        <w:pageBreakBefore w:val="0"/>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9">
      <w:pPr>
        <w:pageBreakBefore w:val="0"/>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A">
      <w:pPr>
        <w:pageBreakBefore w:val="0"/>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B">
      <w:pPr>
        <w:pageBreakBefore w:val="0"/>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C">
      <w:pPr>
        <w:pageBreakBefore w:val="0"/>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EE">
      <w:pPr>
        <w:pageBreakBefore w:val="0"/>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F">
      <w:pPr>
        <w:pageBreakBefore w:val="0"/>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0">
      <w:pPr>
        <w:pageBreakBefore w:val="0"/>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1">
      <w:pPr>
        <w:pageBreakBefore w:val="0"/>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2">
      <w:pPr>
        <w:pageBreakBefore w:val="0"/>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3">
      <w:pPr>
        <w:pageBreakBefore w:val="0"/>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4">
      <w:pPr>
        <w:pageBreakBefore w:val="0"/>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5">
      <w:pPr>
        <w:pageBreakBefore w:val="0"/>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6">
      <w:pPr>
        <w:pageBreakBefore w:val="0"/>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7">
      <w:pPr>
        <w:pageBreakBefore w:val="0"/>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8">
      <w:pPr>
        <w:pageBreakBefore w:val="0"/>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9">
      <w:pPr>
        <w:pageBreakBefore w:val="0"/>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A">
      <w:pPr>
        <w:pageBreakBefore w:val="0"/>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B">
      <w:pPr>
        <w:pageBreakBefore w:val="0"/>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C">
      <w:pPr>
        <w:pageBreakBefore w:val="0"/>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D">
      <w:pPr>
        <w:pageBreakBefore w:val="0"/>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FE">
      <w:pPr>
        <w:pageBreakBefore w:val="0"/>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F">
      <w:pPr>
        <w:pageBreakBefore w:val="0"/>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0">
      <w:pPr>
        <w:pageBreakBefore w:val="0"/>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1">
      <w:pPr>
        <w:pageBreakBefore w:val="0"/>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2">
      <w:pPr>
        <w:pageBreakBefore w:val="0"/>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3">
      <w:pPr>
        <w:pageBreakBefore w:val="0"/>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4">
      <w:pPr>
        <w:pageBreakBefore w:val="0"/>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5">
      <w:pPr>
        <w:pageBreakBefore w:val="0"/>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6">
      <w:pPr>
        <w:pageBreakBefore w:val="0"/>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7">
      <w:pPr>
        <w:pageBreakBefore w:val="0"/>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8">
      <w:pPr>
        <w:pageBreakBefore w:val="0"/>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9">
      <w:pPr>
        <w:pageBreakBefore w:val="0"/>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A">
      <w:pPr>
        <w:pageBreakBefore w:val="0"/>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B">
      <w:pPr>
        <w:pageBreakBefore w:val="0"/>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C">
      <w:pPr>
        <w:pageBreakBefore w:val="0"/>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D">
      <w:pPr>
        <w:pageBreakBefore w:val="0"/>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0E">
      <w:pPr>
        <w:pageBreakBefore w:val="0"/>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0F">
      <w:pPr>
        <w:pageBreakBefore w:val="0"/>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0">
      <w:pPr>
        <w:pageBreakBefore w:val="0"/>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1">
      <w:pPr>
        <w:pageBreakBefore w:val="0"/>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2">
      <w:pPr>
        <w:pageBreakBefore w:val="0"/>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3">
      <w:pPr>
        <w:pageBreakBefore w:val="0"/>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4">
      <w:pPr>
        <w:pageBreakBefore w:val="0"/>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5">
      <w:pPr>
        <w:pageBreakBefore w:val="0"/>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6">
      <w:pPr>
        <w:pageBreakBefore w:val="0"/>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7">
      <w:pPr>
        <w:pageBreakBefore w:val="0"/>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8">
      <w:pPr>
        <w:pageBreakBefore w:val="0"/>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9">
      <w:pPr>
        <w:pageBreakBefore w:val="0"/>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A">
      <w:pPr>
        <w:pageBreakBefore w:val="0"/>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B">
      <w:pPr>
        <w:pageBreakBefore w:val="0"/>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C">
      <w:pPr>
        <w:pageBreakBefore w:val="0"/>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D">
      <w:pPr>
        <w:pageBreakBefore w:val="0"/>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1E">
      <w:pPr>
        <w:pageBreakBefore w:val="0"/>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1F">
      <w:pPr>
        <w:pageBreakBefore w:val="0"/>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0">
      <w:pPr>
        <w:pageBreakBefore w:val="0"/>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1">
      <w:pPr>
        <w:pageBreakBefore w:val="0"/>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2">
      <w:pPr>
        <w:pageBreakBefore w:val="0"/>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3">
      <w:pPr>
        <w:pageBreakBefore w:val="0"/>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4">
      <w:pPr>
        <w:pageBreakBefore w:val="0"/>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5">
      <w:pPr>
        <w:pageBreakBefore w:val="0"/>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6">
      <w:pPr>
        <w:pageBreakBefore w:val="0"/>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7">
      <w:pPr>
        <w:pageBreakBefore w:val="0"/>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8">
      <w:pPr>
        <w:pageBreakBefore w:val="0"/>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9">
      <w:pPr>
        <w:pageBreakBefore w:val="0"/>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A">
      <w:pPr>
        <w:pageBreakBefore w:val="0"/>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B">
      <w:pPr>
        <w:pageBreakBefore w:val="0"/>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C">
      <w:pPr>
        <w:pageBreakBefore w:val="0"/>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D">
      <w:pPr>
        <w:pageBreakBefore w:val="0"/>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E">
      <w:pPr>
        <w:pageBreakBefore w:val="0"/>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F">
      <w:pPr>
        <w:pageBreakBefore w:val="0"/>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0">
      <w:pPr>
        <w:pageBreakBefore w:val="0"/>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1">
      <w:pPr>
        <w:pageBreakBefore w:val="0"/>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2">
      <w:pPr>
        <w:pageBreakBefore w:val="0"/>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3">
      <w:pPr>
        <w:pageBreakBefore w:val="0"/>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4">
      <w:pPr>
        <w:pageBreakBefore w:val="0"/>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5">
      <w:pPr>
        <w:pageBreakBefore w:val="0"/>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6">
      <w:pPr>
        <w:pageBreakBefore w:val="0"/>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7">
      <w:pPr>
        <w:pageBreakBefore w:val="0"/>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8">
      <w:pPr>
        <w:pageBreakBefore w:val="0"/>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9">
      <w:pPr>
        <w:pageBreakBefore w:val="0"/>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A">
      <w:pPr>
        <w:pageBreakBefore w:val="0"/>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B">
      <w:pPr>
        <w:pageBreakBefore w:val="0"/>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C">
      <w:pPr>
        <w:pageBreakBefore w:val="0"/>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bt1g3+nO6fIdGguTjeigJD83Cg==">AMUW2mVcYoa37wjZsNRKP5Xf5WbJDR9PFHpnOZ6WCnx7hicUUvGPIBIKk2skRnxcZIVjoUUV49EZ2m4ZrBnt6K7Jkr6SwavEgn+vHo+pi1K9COZU+E5Sg9Uf2aqVIfcVdD7H4svRtNOP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2020-06-04T11:33:00Z</dcterms:created>
  <dc:creator>Shelly</dc:creator>
</cp:coreProperties>
</file>