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E61F" w14:textId="200C07D8" w:rsidR="00297394" w:rsidRDefault="00230EA8" w:rsidP="00297394">
      <w:pPr>
        <w:pStyle w:val="AS9100ProcedureLevel1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Process Definition</w:t>
      </w:r>
      <w:r w:rsidR="00297394">
        <w:rPr>
          <w:sz w:val="28"/>
          <w:szCs w:val="28"/>
        </w:rPr>
        <w:t>:</w:t>
      </w:r>
      <w:r w:rsidR="002E2C87">
        <w:rPr>
          <w:sz w:val="28"/>
          <w:szCs w:val="28"/>
        </w:rPr>
        <w:t xml:space="preserve"> </w:t>
      </w:r>
      <w:r w:rsidR="00701B8C">
        <w:rPr>
          <w:sz w:val="28"/>
          <w:szCs w:val="28"/>
        </w:rPr>
        <w:t>Delivery of Professional Services</w:t>
      </w:r>
    </w:p>
    <w:p w14:paraId="0895BCA5" w14:textId="77777777" w:rsidR="002E2C87" w:rsidRPr="00297394" w:rsidRDefault="002E2C87" w:rsidP="00297394">
      <w:pPr>
        <w:pStyle w:val="AS9100ProcedureLevel1"/>
        <w:numPr>
          <w:ilvl w:val="0"/>
          <w:numId w:val="0"/>
        </w:numPr>
        <w:ind w:left="360"/>
        <w:jc w:val="center"/>
      </w:pPr>
    </w:p>
    <w:p w14:paraId="0CA3E620" w14:textId="77777777" w:rsidR="0005542D" w:rsidRPr="0005542D" w:rsidRDefault="0005542D" w:rsidP="00297394">
      <w:pPr>
        <w:pStyle w:val="AS9100ProcedureLevel1"/>
      </w:pPr>
      <w:r w:rsidRPr="0005542D">
        <w:t>SUMMARY</w:t>
      </w:r>
    </w:p>
    <w:p w14:paraId="0CA3E621" w14:textId="6CE32EEA" w:rsidR="00C32DEA" w:rsidRDefault="00C32DEA" w:rsidP="00F56EC9">
      <w:pPr>
        <w:pStyle w:val="AS9100ProcedureLevel2"/>
      </w:pPr>
      <w:r w:rsidRPr="00C32DEA">
        <w:t>T</w:t>
      </w:r>
      <w:r w:rsidR="00297394">
        <w:t>his document defines the</w:t>
      </w:r>
      <w:r w:rsidR="001F3D21">
        <w:t xml:space="preserve"> </w:t>
      </w:r>
      <w:r w:rsidR="00701B8C">
        <w:t>delivery of professional services</w:t>
      </w:r>
      <w:r w:rsidR="00BB71CC">
        <w:t xml:space="preserve"> </w:t>
      </w:r>
      <w:r w:rsidR="00297394">
        <w:t>process in detail.</w:t>
      </w:r>
    </w:p>
    <w:p w14:paraId="0CA3E622" w14:textId="613F8952" w:rsidR="00297394" w:rsidRDefault="00297394" w:rsidP="00297394">
      <w:pPr>
        <w:pStyle w:val="AS9100ProcedureLevel2"/>
      </w:pPr>
      <w:r>
        <w:t xml:space="preserve">The relationship between this process and the other processes within the </w:t>
      </w:r>
      <w:r w:rsidR="00E141C8">
        <w:t>Retirement Capital</w:t>
      </w:r>
      <w:r>
        <w:t xml:space="preserve"> management system is illustrated in the process flow map included in the</w:t>
      </w:r>
      <w:r w:rsidRPr="00297394">
        <w:rPr>
          <w:b/>
          <w:i/>
        </w:rPr>
        <w:t xml:space="preserve"> </w:t>
      </w:r>
      <w:r w:rsidR="002E2C87">
        <w:rPr>
          <w:b/>
          <w:i/>
        </w:rPr>
        <w:t xml:space="preserve">Integrated </w:t>
      </w:r>
      <w:r w:rsidR="00230EA8">
        <w:rPr>
          <w:b/>
          <w:i/>
        </w:rPr>
        <w:t xml:space="preserve">Management System </w:t>
      </w:r>
      <w:r w:rsidRPr="00297394">
        <w:rPr>
          <w:b/>
          <w:i/>
        </w:rPr>
        <w:t>Manual.</w:t>
      </w:r>
    </w:p>
    <w:p w14:paraId="0CA3E623" w14:textId="77777777"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77"/>
        <w:gridCol w:w="5124"/>
        <w:gridCol w:w="1464"/>
      </w:tblGrid>
      <w:tr w:rsidR="00FA7767" w14:paraId="0CA3E628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24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14:paraId="0CA3E625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14:paraId="0CA3E626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14:paraId="0CA3E627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99451B" w14:paraId="0CA3E62D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29" w14:textId="3EA83217" w:rsidR="0099451B" w:rsidRDefault="0099451B" w:rsidP="0099451B">
            <w:pPr>
              <w:pStyle w:val="AS9100CTableText"/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14:paraId="0CA3E62A" w14:textId="33CB2D82" w:rsidR="0099451B" w:rsidRDefault="00E141C8" w:rsidP="0099451B">
            <w:pPr>
              <w:pStyle w:val="AS9100CTableText"/>
              <w:jc w:val="center"/>
            </w:pPr>
            <w:r>
              <w:t>14/11/2020</w:t>
            </w:r>
          </w:p>
        </w:tc>
        <w:tc>
          <w:tcPr>
            <w:tcW w:w="5124" w:type="dxa"/>
            <w:vAlign w:val="center"/>
          </w:tcPr>
          <w:p w14:paraId="0CA3E62B" w14:textId="07E531FA" w:rsidR="0099451B" w:rsidRDefault="0099451B" w:rsidP="0099451B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14:paraId="0CA3E62C" w14:textId="7049FC4C" w:rsidR="0099451B" w:rsidRDefault="007963F3" w:rsidP="0099451B">
            <w:pPr>
              <w:pStyle w:val="AS9100CTableText"/>
              <w:jc w:val="center"/>
            </w:pPr>
            <w:r>
              <w:t>Director</w:t>
            </w:r>
          </w:p>
        </w:tc>
      </w:tr>
      <w:tr w:rsidR="00FA7767" w14:paraId="0CA3E637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33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0CA3E634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0CA3E635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0CA3E636" w14:textId="77777777" w:rsidR="00FA7767" w:rsidRDefault="00FA7767" w:rsidP="0027055C">
            <w:pPr>
              <w:pStyle w:val="AS9100CTableText"/>
              <w:jc w:val="center"/>
            </w:pPr>
          </w:p>
        </w:tc>
      </w:tr>
    </w:tbl>
    <w:p w14:paraId="0CA3E638" w14:textId="77777777" w:rsidR="00D50C67" w:rsidRDefault="00D50C67" w:rsidP="004468EF">
      <w:pPr>
        <w:pStyle w:val="AS9100ProcedureBulletList"/>
        <w:numPr>
          <w:ilvl w:val="0"/>
          <w:numId w:val="0"/>
        </w:numPr>
      </w:pPr>
    </w:p>
    <w:p w14:paraId="0CA3E639" w14:textId="77777777" w:rsidR="000279B2" w:rsidRDefault="00297394" w:rsidP="00485983">
      <w:pPr>
        <w:pStyle w:val="AS9100ProcedureLevel1"/>
      </w:pPr>
      <w:r>
        <w:t>PROCESS DEFINITION</w:t>
      </w:r>
    </w:p>
    <w:p w14:paraId="726289F2" w14:textId="28665B53" w:rsidR="00276F1D" w:rsidRPr="004D269E" w:rsidRDefault="00276F1D" w:rsidP="00276F1D">
      <w:pPr>
        <w:pStyle w:val="AS9100ProcedureLevel2"/>
        <w:ind w:left="990" w:hanging="630"/>
      </w:pPr>
      <w:r w:rsidRPr="004D269E">
        <w:t xml:space="preserve">The purpose of the </w:t>
      </w:r>
      <w:r w:rsidR="00340BE5">
        <w:t>delivery of professional services</w:t>
      </w:r>
      <w:r>
        <w:t xml:space="preserve"> process is to generate new business, convert customer requirements into executable service delivery and collect payment for services rendered</w:t>
      </w:r>
      <w:r w:rsidR="00D7313B">
        <w:t xml:space="preserve"> by </w:t>
      </w:r>
      <w:r w:rsidR="00E141C8">
        <w:t>Retirement Capital</w:t>
      </w:r>
      <w:r>
        <w:t>.</w:t>
      </w:r>
    </w:p>
    <w:p w14:paraId="0CA3E63B" w14:textId="77777777" w:rsidR="00297394" w:rsidRDefault="00297394" w:rsidP="00485983">
      <w:pPr>
        <w:pStyle w:val="AS9100ProcedureLevel1"/>
      </w:pPr>
      <w:r>
        <w:t>PROCESS OBJECTIVES AND METRICS</w:t>
      </w:r>
    </w:p>
    <w:p w14:paraId="0CA3E63C" w14:textId="77777777" w:rsidR="00297394" w:rsidRDefault="00297394" w:rsidP="00297394">
      <w:pPr>
        <w:pStyle w:val="AS9100ProcedureLevel2"/>
      </w:pPr>
      <w:r>
        <w:t>Process objectives for this process are defined in records of management review; see the documented procedure</w:t>
      </w:r>
      <w:r w:rsidR="00230EA8">
        <w:rPr>
          <w:b/>
          <w:i/>
        </w:rPr>
        <w:t xml:space="preserve"> </w:t>
      </w:r>
      <w:r w:rsidRPr="00297394">
        <w:rPr>
          <w:b/>
          <w:i/>
        </w:rPr>
        <w:t>Management Review.</w:t>
      </w:r>
    </w:p>
    <w:p w14:paraId="0CA3E63D" w14:textId="77777777" w:rsidR="00297394" w:rsidRDefault="00297394" w:rsidP="00297394">
      <w:pPr>
        <w:pStyle w:val="AS9100ProcedureLevel2"/>
        <w:ind w:left="990" w:hanging="630"/>
      </w:pPr>
      <w:r>
        <w:t>In addition, each objective has at least one metric (or KPI) with which management can measure the effectiveness of the process. These are also defined in records of management review.</w:t>
      </w:r>
    </w:p>
    <w:p w14:paraId="0CA3E63E" w14:textId="77777777" w:rsidR="00297394" w:rsidRDefault="00297394" w:rsidP="00485983">
      <w:pPr>
        <w:pStyle w:val="AS9100ProcedureLevel1"/>
      </w:pPr>
      <w:r>
        <w:t>PROCESS OWNERS AND RESPONSIBLE PARTIES</w:t>
      </w:r>
    </w:p>
    <w:p w14:paraId="0CA3E63F" w14:textId="6DEDB3C2" w:rsidR="00297394" w:rsidRDefault="00297394" w:rsidP="00297394">
      <w:pPr>
        <w:pStyle w:val="AS9100ProcedureLevel2"/>
      </w:pPr>
      <w:r>
        <w:t>The owner of this process is</w:t>
      </w:r>
      <w:r w:rsidR="00C90136">
        <w:t xml:space="preserve"> the Director.</w:t>
      </w:r>
    </w:p>
    <w:p w14:paraId="0CA3E641" w14:textId="77777777" w:rsidR="00297394" w:rsidRDefault="00297394" w:rsidP="00485983">
      <w:pPr>
        <w:pStyle w:val="AS9100ProcedureLevel1"/>
      </w:pPr>
      <w:r>
        <w:t>TYPICAL PROCESS INPUTS</w:t>
      </w:r>
    </w:p>
    <w:p w14:paraId="0CA3E642" w14:textId="77777777" w:rsidR="00297394" w:rsidRDefault="00297394" w:rsidP="00297394">
      <w:pPr>
        <w:pStyle w:val="AS9100ProcedureLevel2"/>
      </w:pPr>
      <w:r>
        <w:t>The typical required inputs for this process are:</w:t>
      </w:r>
    </w:p>
    <w:p w14:paraId="0CA3E643" w14:textId="77777777" w:rsidR="00297394" w:rsidRDefault="00297394" w:rsidP="00297394">
      <w:pPr>
        <w:pStyle w:val="AS9100Level3"/>
      </w:pPr>
      <w:r>
        <w:t>Technical information needed:</w:t>
      </w:r>
    </w:p>
    <w:p w14:paraId="0CA3E644" w14:textId="26AA01C6" w:rsidR="00297394" w:rsidRDefault="00883020" w:rsidP="00297394">
      <w:pPr>
        <w:pStyle w:val="AS9100ProcedureBulletList"/>
        <w:ind w:left="1890"/>
      </w:pPr>
      <w:r>
        <w:t>Customer requirement</w:t>
      </w:r>
    </w:p>
    <w:p w14:paraId="6312C0E6" w14:textId="36517F92" w:rsidR="00883020" w:rsidRDefault="007716CB" w:rsidP="00297394">
      <w:pPr>
        <w:pStyle w:val="AS9100ProcedureBulletList"/>
        <w:ind w:left="1890"/>
      </w:pPr>
      <w:r>
        <w:t>Regulatory requirement</w:t>
      </w:r>
    </w:p>
    <w:p w14:paraId="6F97CEAA" w14:textId="7192500F" w:rsidR="00E83CB9" w:rsidRDefault="00E83CB9" w:rsidP="00297394">
      <w:pPr>
        <w:pStyle w:val="AS9100ProcedureBulletList"/>
        <w:ind w:left="1890"/>
      </w:pPr>
      <w:r>
        <w:t xml:space="preserve">Relevant </w:t>
      </w:r>
      <w:r w:rsidR="001C7895">
        <w:t>project information that may impact on price</w:t>
      </w:r>
    </w:p>
    <w:p w14:paraId="0CA3E645" w14:textId="77777777" w:rsidR="00297394" w:rsidRDefault="00297394" w:rsidP="00297394">
      <w:pPr>
        <w:pStyle w:val="AS9100Level3"/>
      </w:pPr>
      <w:r>
        <w:t>Resources needed:</w:t>
      </w:r>
    </w:p>
    <w:p w14:paraId="0CA3E646" w14:textId="4234B623" w:rsidR="00297394" w:rsidRDefault="00274714" w:rsidP="00297394">
      <w:pPr>
        <w:pStyle w:val="AS9100ProcedureBulletList"/>
        <w:ind w:left="1890"/>
      </w:pPr>
      <w:r>
        <w:t>Office</w:t>
      </w:r>
      <w:r w:rsidR="007716CB">
        <w:t xml:space="preserve"> facilities</w:t>
      </w:r>
    </w:p>
    <w:p w14:paraId="4AA84437" w14:textId="34089217" w:rsidR="007716CB" w:rsidRDefault="007716CB" w:rsidP="00274714">
      <w:pPr>
        <w:pStyle w:val="AS9100ProcedureBulletList"/>
        <w:numPr>
          <w:ilvl w:val="0"/>
          <w:numId w:val="0"/>
        </w:numPr>
        <w:ind w:left="1890"/>
      </w:pPr>
    </w:p>
    <w:p w14:paraId="0CA3E647" w14:textId="77777777" w:rsidR="00297394" w:rsidRDefault="00297394" w:rsidP="00297394">
      <w:pPr>
        <w:pStyle w:val="AS9100Level3"/>
      </w:pPr>
      <w:r>
        <w:lastRenderedPageBreak/>
        <w:t>Personnel needed:</w:t>
      </w:r>
    </w:p>
    <w:p w14:paraId="0AE359F3" w14:textId="1DFB468E" w:rsidR="005167CF" w:rsidRDefault="005167CF" w:rsidP="00297394">
      <w:pPr>
        <w:pStyle w:val="AS9100ProcedureBulletList"/>
        <w:ind w:left="1890"/>
      </w:pPr>
      <w:r>
        <w:t xml:space="preserve">Competent employee to </w:t>
      </w:r>
      <w:r w:rsidR="00C126C9">
        <w:t>deliver service(s)</w:t>
      </w:r>
    </w:p>
    <w:p w14:paraId="0CA3E649" w14:textId="77777777" w:rsidR="00297394" w:rsidRDefault="00297394" w:rsidP="00297394">
      <w:pPr>
        <w:pStyle w:val="AS9100Level3"/>
      </w:pPr>
      <w:r>
        <w:t>Special training needed:</w:t>
      </w:r>
    </w:p>
    <w:p w14:paraId="0CA3E64A" w14:textId="6282BCEB" w:rsidR="00297394" w:rsidRDefault="00C126C9" w:rsidP="00297394">
      <w:pPr>
        <w:pStyle w:val="AS9100ProcedureBulletList"/>
        <w:ind w:left="1890"/>
      </w:pPr>
      <w:r>
        <w:t xml:space="preserve">As defined by </w:t>
      </w:r>
      <w:r w:rsidR="00E141C8">
        <w:t>Retirement Capital</w:t>
      </w:r>
      <w:r>
        <w:t xml:space="preserve"> and/or relevant approval </w:t>
      </w:r>
      <w:r w:rsidR="00072A6C">
        <w:t>body</w:t>
      </w:r>
    </w:p>
    <w:p w14:paraId="0CA3E64B" w14:textId="1F901FD0" w:rsidR="00297394" w:rsidRDefault="00297394" w:rsidP="00297394">
      <w:pPr>
        <w:pStyle w:val="AS9100ProcedureLevel1"/>
      </w:pPr>
      <w:r>
        <w:t>TYPICAL PROCESS STEPS</w:t>
      </w:r>
    </w:p>
    <w:p w14:paraId="0CA3E64D" w14:textId="23A32B88" w:rsidR="00297394" w:rsidRPr="000B60E6" w:rsidRDefault="000B60E6" w:rsidP="00523371">
      <w:pPr>
        <w:pStyle w:val="AS9100ProcedureLevel2"/>
        <w:ind w:left="990" w:hanging="630"/>
      </w:pPr>
      <w:r w:rsidRPr="000B60E6">
        <w:t>Customer requirements gathering</w:t>
      </w:r>
    </w:p>
    <w:p w14:paraId="2CEDEB10" w14:textId="62723045" w:rsidR="00523371" w:rsidRPr="000B60E6" w:rsidRDefault="000B60E6" w:rsidP="00523371">
      <w:pPr>
        <w:pStyle w:val="AS9100ProcedureLevel2"/>
        <w:ind w:left="990" w:hanging="630"/>
      </w:pPr>
      <w:r w:rsidRPr="000B60E6">
        <w:t>Service provision</w:t>
      </w:r>
    </w:p>
    <w:p w14:paraId="3DC8C4A9" w14:textId="72DCA880" w:rsidR="00523371" w:rsidRPr="000B60E6" w:rsidRDefault="000B60E6" w:rsidP="00523371">
      <w:pPr>
        <w:pStyle w:val="AS9100ProcedureLevel2"/>
        <w:ind w:left="990" w:hanging="630"/>
      </w:pPr>
      <w:r w:rsidRPr="000B60E6">
        <w:t>Customer feedback report production</w:t>
      </w:r>
    </w:p>
    <w:p w14:paraId="0CA3E64E" w14:textId="77777777" w:rsidR="00297394" w:rsidRDefault="00297394" w:rsidP="00485983">
      <w:pPr>
        <w:pStyle w:val="AS9100ProcedureLevel1"/>
      </w:pPr>
      <w:r>
        <w:t>TYPICAL PROCESS OUTPUTS</w:t>
      </w:r>
    </w:p>
    <w:p w14:paraId="0CA3E64F" w14:textId="77777777" w:rsidR="001841E7" w:rsidRDefault="001841E7" w:rsidP="001841E7">
      <w:pPr>
        <w:pStyle w:val="AS9100ProcedureLevel2"/>
      </w:pPr>
      <w:r>
        <w:t>The typical results (outputs) of the process are as follows:</w:t>
      </w:r>
    </w:p>
    <w:p w14:paraId="0CA3E650" w14:textId="75871EB3" w:rsidR="001841E7" w:rsidRDefault="00F25DC4" w:rsidP="001841E7">
      <w:pPr>
        <w:pStyle w:val="AS9100Level3"/>
      </w:pPr>
      <w:r>
        <w:t>Service</w:t>
      </w:r>
      <w:r w:rsidR="00093C03">
        <w:t xml:space="preserve"> produced</w:t>
      </w:r>
      <w:r w:rsidR="001841E7">
        <w:t>:</w:t>
      </w:r>
    </w:p>
    <w:p w14:paraId="0CA3E651" w14:textId="373451B0" w:rsidR="001841E7" w:rsidRDefault="00F30CE1" w:rsidP="001841E7">
      <w:pPr>
        <w:pStyle w:val="AS9100ProcedureBulletList"/>
        <w:ind w:left="1890"/>
      </w:pPr>
      <w:r>
        <w:t>Services delivered</w:t>
      </w:r>
      <w:r w:rsidR="0078107E">
        <w:t>.</w:t>
      </w:r>
    </w:p>
    <w:p w14:paraId="0CA3E652" w14:textId="77777777" w:rsidR="001841E7" w:rsidRDefault="00093C03" w:rsidP="001841E7">
      <w:pPr>
        <w:pStyle w:val="AS9100Level3"/>
      </w:pPr>
      <w:r>
        <w:t>Documents or technical information produced</w:t>
      </w:r>
      <w:r w:rsidR="001841E7">
        <w:t>:</w:t>
      </w:r>
    </w:p>
    <w:p w14:paraId="0CA3E653" w14:textId="3BF62E92" w:rsidR="001841E7" w:rsidRDefault="007F22B1" w:rsidP="001841E7">
      <w:pPr>
        <w:pStyle w:val="AS9100ProcedureBulletList"/>
        <w:ind w:left="1890"/>
      </w:pPr>
      <w:r>
        <w:t>None</w:t>
      </w:r>
    </w:p>
    <w:p w14:paraId="0CA3E654" w14:textId="77777777" w:rsidR="001841E7" w:rsidRDefault="00093C03" w:rsidP="001841E7">
      <w:pPr>
        <w:pStyle w:val="AS9100Level3"/>
      </w:pPr>
      <w:r>
        <w:t>Records produced</w:t>
      </w:r>
      <w:r w:rsidR="001841E7">
        <w:t>:</w:t>
      </w:r>
    </w:p>
    <w:p w14:paraId="10546D0B" w14:textId="7FC8C862" w:rsidR="00D93254" w:rsidRDefault="007F22B1" w:rsidP="001841E7">
      <w:pPr>
        <w:pStyle w:val="AS9100ProcedureBulletList"/>
        <w:ind w:left="1890"/>
      </w:pPr>
      <w:r>
        <w:t>C</w:t>
      </w:r>
      <w:r w:rsidR="00BA0723">
        <w:t>ustomer</w:t>
      </w:r>
      <w:r>
        <w:t xml:space="preserve"> feedback</w:t>
      </w:r>
    </w:p>
    <w:p w14:paraId="0CA3E658" w14:textId="77777777" w:rsidR="001841E7" w:rsidRDefault="001841E7" w:rsidP="001841E7">
      <w:pPr>
        <w:pStyle w:val="AS9100ProcedureLevel1"/>
        <w:numPr>
          <w:ilvl w:val="0"/>
          <w:numId w:val="0"/>
        </w:numPr>
        <w:ind w:left="360" w:hanging="360"/>
      </w:pPr>
    </w:p>
    <w:p w14:paraId="0CA3E659" w14:textId="77777777" w:rsidR="00297394" w:rsidRDefault="00297394" w:rsidP="00485983">
      <w:pPr>
        <w:pStyle w:val="AS9100ProcedureLevel1"/>
      </w:pPr>
      <w:r>
        <w:t>RELATED RISKS</w:t>
      </w:r>
    </w:p>
    <w:p w14:paraId="0CA3E65A" w14:textId="41ECC42E" w:rsidR="00E90D68" w:rsidRDefault="000279B2" w:rsidP="0005138A">
      <w:pPr>
        <w:pStyle w:val="AS9100ProcedureLevel2"/>
      </w:pPr>
      <w:r>
        <w:t xml:space="preserve">The </w:t>
      </w:r>
      <w:r w:rsidR="0005138A">
        <w:t xml:space="preserve">following </w:t>
      </w:r>
      <w:r w:rsidR="00093C03">
        <w:t>risks are identified related to this process</w:t>
      </w:r>
      <w:r w:rsidR="0005138A">
        <w:t>.</w:t>
      </w:r>
    </w:p>
    <w:p w14:paraId="0CA3E65B" w14:textId="77777777" w:rsidR="00093C03" w:rsidRDefault="00093C03" w:rsidP="0005138A">
      <w:pPr>
        <w:pStyle w:val="AS9100ProcedureLevel2"/>
      </w:pPr>
      <w:r>
        <w:t>Management may elect to conduct a formal risk assessment for any of these risks; the preferred method of risk assessment is indicated herein.</w:t>
      </w:r>
      <w:r w:rsidR="00AE6E5D">
        <w:t xml:space="preserve"> 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3706"/>
        <w:gridCol w:w="1316"/>
        <w:gridCol w:w="1276"/>
        <w:gridCol w:w="3402"/>
      </w:tblGrid>
      <w:tr w:rsidR="008F28F7" w14:paraId="0CA3E662" w14:textId="77777777" w:rsidTr="008F28F7">
        <w:trPr>
          <w:tblHeader/>
        </w:trPr>
        <w:tc>
          <w:tcPr>
            <w:tcW w:w="3706" w:type="dxa"/>
            <w:shd w:val="clear" w:color="auto" w:fill="BFBFBF" w:themeFill="background1" w:themeFillShade="BF"/>
            <w:vAlign w:val="center"/>
          </w:tcPr>
          <w:p w14:paraId="0CA3E65C" w14:textId="77777777" w:rsidR="008F28F7" w:rsidRPr="000B60E6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0B60E6">
              <w:t>Risk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14:paraId="0CA3E65D" w14:textId="77777777" w:rsidR="008F28F7" w:rsidRPr="000B60E6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0B60E6">
              <w:t>Likelihood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A3E65E" w14:textId="77777777" w:rsidR="008F28F7" w:rsidRPr="000B60E6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0B60E6">
              <w:t>Severity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CA3E661" w14:textId="77777777" w:rsidR="008F28F7" w:rsidRPr="000B60E6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0B60E6">
              <w:t>Mitigation</w:t>
            </w:r>
          </w:p>
        </w:tc>
      </w:tr>
      <w:tr w:rsidR="008F28F7" w:rsidRPr="00D931ED" w14:paraId="0CA3E668" w14:textId="77777777" w:rsidTr="008F28F7">
        <w:tc>
          <w:tcPr>
            <w:tcW w:w="3706" w:type="dxa"/>
          </w:tcPr>
          <w:p w14:paraId="0CA3E663" w14:textId="5ECBE3CE" w:rsidR="008F28F7" w:rsidRPr="000B60E6" w:rsidRDefault="00C51166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Poor resource management</w:t>
            </w:r>
          </w:p>
        </w:tc>
        <w:tc>
          <w:tcPr>
            <w:tcW w:w="1316" w:type="dxa"/>
          </w:tcPr>
          <w:p w14:paraId="0CA3E664" w14:textId="092DD40F" w:rsidR="008F28F7" w:rsidRPr="000B60E6" w:rsidRDefault="00041F73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65" w14:textId="2228C47C" w:rsidR="008F28F7" w:rsidRPr="000B60E6" w:rsidRDefault="00F6083F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High</w:t>
            </w:r>
          </w:p>
        </w:tc>
        <w:tc>
          <w:tcPr>
            <w:tcW w:w="3402" w:type="dxa"/>
          </w:tcPr>
          <w:p w14:paraId="0CA3E667" w14:textId="288EA246" w:rsidR="008F28F7" w:rsidRPr="000B60E6" w:rsidRDefault="002200D3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Monitor employee competence (continually)</w:t>
            </w:r>
          </w:p>
        </w:tc>
      </w:tr>
      <w:tr w:rsidR="008F28F7" w:rsidRPr="00D931ED" w14:paraId="0CA3E674" w14:textId="77777777" w:rsidTr="008F28F7">
        <w:tc>
          <w:tcPr>
            <w:tcW w:w="3706" w:type="dxa"/>
          </w:tcPr>
          <w:p w14:paraId="0CA3E66F" w14:textId="5C8CFDBA" w:rsidR="008F28F7" w:rsidRPr="000B60E6" w:rsidRDefault="00CD35F9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Sub-standard service delivery</w:t>
            </w:r>
          </w:p>
        </w:tc>
        <w:tc>
          <w:tcPr>
            <w:tcW w:w="1316" w:type="dxa"/>
          </w:tcPr>
          <w:p w14:paraId="0CA3E670" w14:textId="432F6B60" w:rsidR="008F28F7" w:rsidRPr="000B60E6" w:rsidRDefault="00AB76DD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71" w14:textId="5921452A" w:rsidR="008F28F7" w:rsidRPr="000B60E6" w:rsidRDefault="00F6083F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High</w:t>
            </w:r>
          </w:p>
        </w:tc>
        <w:tc>
          <w:tcPr>
            <w:tcW w:w="3402" w:type="dxa"/>
          </w:tcPr>
          <w:p w14:paraId="0CA3E673" w14:textId="0FE6641E" w:rsidR="008F28F7" w:rsidRPr="000B60E6" w:rsidRDefault="00831080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 xml:space="preserve">Monitor suppliers via the </w:t>
            </w:r>
            <w:r w:rsidR="000C4E7A" w:rsidRPr="000B60E6">
              <w:rPr>
                <w:b w:val="0"/>
              </w:rPr>
              <w:t>Supplier Approval process</w:t>
            </w:r>
          </w:p>
        </w:tc>
      </w:tr>
      <w:tr w:rsidR="008F28F7" w:rsidRPr="00D931ED" w14:paraId="0CA3E67A" w14:textId="77777777" w:rsidTr="008F28F7">
        <w:tc>
          <w:tcPr>
            <w:tcW w:w="3706" w:type="dxa"/>
          </w:tcPr>
          <w:p w14:paraId="0CA3E675" w14:textId="2D98D018" w:rsidR="008F28F7" w:rsidRPr="000B60E6" w:rsidRDefault="00DA7A65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 xml:space="preserve">Negative </w:t>
            </w:r>
            <w:r w:rsidR="00BF48C2" w:rsidRPr="000B60E6">
              <w:rPr>
                <w:b w:val="0"/>
              </w:rPr>
              <w:t>feedback from services delivered</w:t>
            </w:r>
          </w:p>
        </w:tc>
        <w:tc>
          <w:tcPr>
            <w:tcW w:w="1316" w:type="dxa"/>
          </w:tcPr>
          <w:p w14:paraId="0CA3E676" w14:textId="215568AA" w:rsidR="008F28F7" w:rsidRPr="000B60E6" w:rsidRDefault="00665564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77" w14:textId="18C90BEE" w:rsidR="008F28F7" w:rsidRPr="000B60E6" w:rsidRDefault="00F6083F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Moderate</w:t>
            </w:r>
          </w:p>
        </w:tc>
        <w:tc>
          <w:tcPr>
            <w:tcW w:w="3402" w:type="dxa"/>
          </w:tcPr>
          <w:p w14:paraId="0CA3E679" w14:textId="04A217E9" w:rsidR="008F28F7" w:rsidRPr="000B60E6" w:rsidRDefault="006A41D9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0B60E6">
              <w:rPr>
                <w:b w:val="0"/>
              </w:rPr>
              <w:t>Ensure customer requirements are fully understood and delivered accordingly</w:t>
            </w:r>
          </w:p>
        </w:tc>
      </w:tr>
    </w:tbl>
    <w:p w14:paraId="0CA3E67B" w14:textId="77777777" w:rsidR="00093C03" w:rsidRDefault="00093C03" w:rsidP="00093C03">
      <w:pPr>
        <w:pStyle w:val="AS9100ProcedureLevel1"/>
        <w:numPr>
          <w:ilvl w:val="0"/>
          <w:numId w:val="0"/>
        </w:numPr>
        <w:ind w:left="360" w:hanging="360"/>
      </w:pPr>
    </w:p>
    <w:p w14:paraId="0CA3E67C" w14:textId="77777777" w:rsidR="0005138A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p w14:paraId="0CA3E67D" w14:textId="77777777" w:rsidR="0005138A" w:rsidRPr="00ED4C80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sectPr w:rsidR="0005138A" w:rsidRPr="00ED4C80" w:rsidSect="000D2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5C575" w14:textId="77777777" w:rsidR="00FE4F6F" w:rsidRDefault="00FE4F6F">
      <w:pPr>
        <w:spacing w:after="0" w:line="240" w:lineRule="auto"/>
      </w:pPr>
      <w:r>
        <w:separator/>
      </w:r>
    </w:p>
  </w:endnote>
  <w:endnote w:type="continuationSeparator" w:id="0">
    <w:p w14:paraId="7398D9E6" w14:textId="77777777" w:rsidR="00FE4F6F" w:rsidRDefault="00FE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F4CD" w14:textId="77777777" w:rsidR="00E55EC0" w:rsidRDefault="00E55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CA3E68A" w14:textId="77777777"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0EA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0EA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0CA3E68B" w14:textId="77777777" w:rsidR="007F37B6" w:rsidRDefault="007F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6AFF" w14:textId="77777777" w:rsidR="00E55EC0" w:rsidRDefault="00E5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2860" w14:textId="77777777" w:rsidR="00FE4F6F" w:rsidRDefault="00FE4F6F">
      <w:pPr>
        <w:spacing w:after="0" w:line="240" w:lineRule="auto"/>
      </w:pPr>
      <w:r>
        <w:separator/>
      </w:r>
    </w:p>
  </w:footnote>
  <w:footnote w:type="continuationSeparator" w:id="0">
    <w:p w14:paraId="547BCA35" w14:textId="77777777" w:rsidR="00FE4F6F" w:rsidRDefault="00FE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37A41" w14:textId="77777777" w:rsidR="00E55EC0" w:rsidRDefault="00E55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E685" w14:textId="422913C5" w:rsidR="00DD5160" w:rsidRDefault="00DE55CB" w:rsidP="00DD5160">
    <w:pPr>
      <w:pStyle w:val="AS9100ProcedureHeader"/>
    </w:pPr>
    <w:r w:rsidRPr="00DD5160">
      <w:t xml:space="preserve"> </w:t>
    </w:r>
    <w:r w:rsidR="00E141C8">
      <w:t>Retirement Capital</w:t>
    </w:r>
  </w:p>
  <w:p w14:paraId="0CA3E686" w14:textId="71442EC9" w:rsidR="00297394" w:rsidRDefault="000A5EF0" w:rsidP="00DD5160">
    <w:pPr>
      <w:pStyle w:val="AS9100ProcedureHeader"/>
    </w:pPr>
    <w:r>
      <w:t>Delivery of Professional Services</w:t>
    </w:r>
  </w:p>
  <w:p w14:paraId="0CA3E687" w14:textId="084F9980" w:rsidR="007F37B6" w:rsidRDefault="00EC049B" w:rsidP="00DD5160">
    <w:pPr>
      <w:pStyle w:val="AS9100ProcedureHeader"/>
    </w:pPr>
    <w:r>
      <w:t xml:space="preserve">Rev. </w:t>
    </w:r>
    <w:r w:rsidR="00230EA8">
      <w:t>0</w:t>
    </w:r>
  </w:p>
  <w:p w14:paraId="0CA3E688" w14:textId="77777777"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2128" w14:textId="77777777" w:rsidR="00E55EC0" w:rsidRDefault="00E55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0"/>
    <w:rsid w:val="0000766A"/>
    <w:rsid w:val="000279B2"/>
    <w:rsid w:val="0003520E"/>
    <w:rsid w:val="00041F73"/>
    <w:rsid w:val="0005138A"/>
    <w:rsid w:val="00053B8A"/>
    <w:rsid w:val="0005542D"/>
    <w:rsid w:val="00072A6C"/>
    <w:rsid w:val="000872F8"/>
    <w:rsid w:val="00091E0D"/>
    <w:rsid w:val="00093C03"/>
    <w:rsid w:val="000A5EF0"/>
    <w:rsid w:val="000B60E6"/>
    <w:rsid w:val="000C4E7A"/>
    <w:rsid w:val="000D2FF1"/>
    <w:rsid w:val="000D3809"/>
    <w:rsid w:val="001102B0"/>
    <w:rsid w:val="00135175"/>
    <w:rsid w:val="00151429"/>
    <w:rsid w:val="00166891"/>
    <w:rsid w:val="001841E7"/>
    <w:rsid w:val="001A0FF2"/>
    <w:rsid w:val="001A3B02"/>
    <w:rsid w:val="001A50B8"/>
    <w:rsid w:val="001C7895"/>
    <w:rsid w:val="001D3FE6"/>
    <w:rsid w:val="001E5B05"/>
    <w:rsid w:val="001F1F3C"/>
    <w:rsid w:val="001F3D21"/>
    <w:rsid w:val="002200D3"/>
    <w:rsid w:val="00230EA8"/>
    <w:rsid w:val="00242497"/>
    <w:rsid w:val="0025219E"/>
    <w:rsid w:val="00254F69"/>
    <w:rsid w:val="0027055C"/>
    <w:rsid w:val="00274714"/>
    <w:rsid w:val="00276F1D"/>
    <w:rsid w:val="00284C69"/>
    <w:rsid w:val="00293C4C"/>
    <w:rsid w:val="00297394"/>
    <w:rsid w:val="002A6617"/>
    <w:rsid w:val="002B1FFC"/>
    <w:rsid w:val="002B753C"/>
    <w:rsid w:val="002D3093"/>
    <w:rsid w:val="002D61E5"/>
    <w:rsid w:val="002E2C87"/>
    <w:rsid w:val="00340BE5"/>
    <w:rsid w:val="00364D58"/>
    <w:rsid w:val="00383FDC"/>
    <w:rsid w:val="00397A68"/>
    <w:rsid w:val="003D00DF"/>
    <w:rsid w:val="00423F3D"/>
    <w:rsid w:val="004468EF"/>
    <w:rsid w:val="00451952"/>
    <w:rsid w:val="0045209B"/>
    <w:rsid w:val="004611E6"/>
    <w:rsid w:val="00472748"/>
    <w:rsid w:val="004804A8"/>
    <w:rsid w:val="004813DE"/>
    <w:rsid w:val="00485983"/>
    <w:rsid w:val="004A7D81"/>
    <w:rsid w:val="004B573D"/>
    <w:rsid w:val="004D18A8"/>
    <w:rsid w:val="00512CFE"/>
    <w:rsid w:val="005167CF"/>
    <w:rsid w:val="00523371"/>
    <w:rsid w:val="00546458"/>
    <w:rsid w:val="00553197"/>
    <w:rsid w:val="00581D38"/>
    <w:rsid w:val="0058727D"/>
    <w:rsid w:val="005A0C8E"/>
    <w:rsid w:val="005C17A3"/>
    <w:rsid w:val="005D4C36"/>
    <w:rsid w:val="0064535E"/>
    <w:rsid w:val="00665564"/>
    <w:rsid w:val="00673A72"/>
    <w:rsid w:val="006851AB"/>
    <w:rsid w:val="006A0DC5"/>
    <w:rsid w:val="006A41D9"/>
    <w:rsid w:val="00701B8C"/>
    <w:rsid w:val="007049E7"/>
    <w:rsid w:val="00714922"/>
    <w:rsid w:val="00733DE0"/>
    <w:rsid w:val="00737CF0"/>
    <w:rsid w:val="0075033C"/>
    <w:rsid w:val="007716CB"/>
    <w:rsid w:val="00772CB0"/>
    <w:rsid w:val="0078107E"/>
    <w:rsid w:val="00786CAB"/>
    <w:rsid w:val="007963F3"/>
    <w:rsid w:val="007B7B98"/>
    <w:rsid w:val="007B7D38"/>
    <w:rsid w:val="007C06F5"/>
    <w:rsid w:val="007F22B1"/>
    <w:rsid w:val="007F37B6"/>
    <w:rsid w:val="007F4EBE"/>
    <w:rsid w:val="00800380"/>
    <w:rsid w:val="008051B2"/>
    <w:rsid w:val="00817ABB"/>
    <w:rsid w:val="0082704F"/>
    <w:rsid w:val="00831080"/>
    <w:rsid w:val="0085542F"/>
    <w:rsid w:val="00863601"/>
    <w:rsid w:val="00865359"/>
    <w:rsid w:val="00883020"/>
    <w:rsid w:val="00896902"/>
    <w:rsid w:val="008A140D"/>
    <w:rsid w:val="008B4E67"/>
    <w:rsid w:val="008F28F7"/>
    <w:rsid w:val="009002A7"/>
    <w:rsid w:val="009056EC"/>
    <w:rsid w:val="00917412"/>
    <w:rsid w:val="00944191"/>
    <w:rsid w:val="009665B9"/>
    <w:rsid w:val="00990830"/>
    <w:rsid w:val="0099451B"/>
    <w:rsid w:val="009A6C7E"/>
    <w:rsid w:val="009C732F"/>
    <w:rsid w:val="009D70ED"/>
    <w:rsid w:val="009F6E1E"/>
    <w:rsid w:val="00A26142"/>
    <w:rsid w:val="00A3689C"/>
    <w:rsid w:val="00A70C98"/>
    <w:rsid w:val="00A8481A"/>
    <w:rsid w:val="00AB76DD"/>
    <w:rsid w:val="00AB7CB1"/>
    <w:rsid w:val="00AE6E5D"/>
    <w:rsid w:val="00B306B7"/>
    <w:rsid w:val="00B55901"/>
    <w:rsid w:val="00B718F2"/>
    <w:rsid w:val="00BA0723"/>
    <w:rsid w:val="00BB477F"/>
    <w:rsid w:val="00BB646B"/>
    <w:rsid w:val="00BB71CC"/>
    <w:rsid w:val="00BC0359"/>
    <w:rsid w:val="00BE2A6A"/>
    <w:rsid w:val="00BF48C2"/>
    <w:rsid w:val="00C126C9"/>
    <w:rsid w:val="00C31DF7"/>
    <w:rsid w:val="00C32DEA"/>
    <w:rsid w:val="00C47884"/>
    <w:rsid w:val="00C501A2"/>
    <w:rsid w:val="00C51166"/>
    <w:rsid w:val="00C555FC"/>
    <w:rsid w:val="00C732AC"/>
    <w:rsid w:val="00C73F21"/>
    <w:rsid w:val="00C81EFB"/>
    <w:rsid w:val="00C90136"/>
    <w:rsid w:val="00C95104"/>
    <w:rsid w:val="00CB24BB"/>
    <w:rsid w:val="00CC6E9F"/>
    <w:rsid w:val="00CD35F9"/>
    <w:rsid w:val="00CE4B81"/>
    <w:rsid w:val="00D21F3F"/>
    <w:rsid w:val="00D320F4"/>
    <w:rsid w:val="00D36B4C"/>
    <w:rsid w:val="00D37E3C"/>
    <w:rsid w:val="00D50C67"/>
    <w:rsid w:val="00D54B11"/>
    <w:rsid w:val="00D67DEE"/>
    <w:rsid w:val="00D7313B"/>
    <w:rsid w:val="00D808A9"/>
    <w:rsid w:val="00D84B11"/>
    <w:rsid w:val="00D931ED"/>
    <w:rsid w:val="00D93254"/>
    <w:rsid w:val="00DA7A65"/>
    <w:rsid w:val="00DB2F0C"/>
    <w:rsid w:val="00DD5160"/>
    <w:rsid w:val="00DD7FE4"/>
    <w:rsid w:val="00DE3345"/>
    <w:rsid w:val="00DE42BD"/>
    <w:rsid w:val="00DE55CB"/>
    <w:rsid w:val="00DE62E2"/>
    <w:rsid w:val="00E06174"/>
    <w:rsid w:val="00E141C8"/>
    <w:rsid w:val="00E2496D"/>
    <w:rsid w:val="00E35CB7"/>
    <w:rsid w:val="00E55EC0"/>
    <w:rsid w:val="00E6350B"/>
    <w:rsid w:val="00E77C38"/>
    <w:rsid w:val="00E83CB9"/>
    <w:rsid w:val="00E90D68"/>
    <w:rsid w:val="00E92772"/>
    <w:rsid w:val="00EC049B"/>
    <w:rsid w:val="00EC4048"/>
    <w:rsid w:val="00ED12AB"/>
    <w:rsid w:val="00ED4C80"/>
    <w:rsid w:val="00F03D61"/>
    <w:rsid w:val="00F06559"/>
    <w:rsid w:val="00F25DC4"/>
    <w:rsid w:val="00F30CE1"/>
    <w:rsid w:val="00F56EC9"/>
    <w:rsid w:val="00F57E9E"/>
    <w:rsid w:val="00F6083F"/>
    <w:rsid w:val="00F871CB"/>
    <w:rsid w:val="00FA57BF"/>
    <w:rsid w:val="00FA7767"/>
    <w:rsid w:val="00FD25D8"/>
    <w:rsid w:val="00F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A3E61E"/>
  <w15:docId w15:val="{334C1159-FE89-4A2F-9C6F-3BFAF4B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F56EC9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F56EC9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351</Words>
  <Characters>2157</Characters>
  <Application>Microsoft Office Word</Application>
  <DocSecurity>0</DocSecurity>
  <Lines>86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ISO-Cert Online</vt:lpstr>
    </vt:vector>
  </TitlesOfParts>
  <Manager/>
  <Company>ISO-Cert Online Ltd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</dc:title>
  <dc:subject>ISO 9001:2015</dc:subject>
  <dc:creator>ISO-Cert Online</dc:creator>
  <cp:keywords>ISO 9001:2015</cp:keywords>
  <dc:description>ISO 9001:2015</dc:description>
  <cp:lastModifiedBy>Steve Weaver</cp:lastModifiedBy>
  <cp:revision>117</cp:revision>
  <dcterms:created xsi:type="dcterms:W3CDTF">2018-07-11T09:23:00Z</dcterms:created>
  <dcterms:modified xsi:type="dcterms:W3CDTF">2020-11-14T10:18:00Z</dcterms:modified>
  <cp:category/>
</cp:coreProperties>
</file>