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Mr David Irving</w:t>
      </w:r>
    </w:p>
    <w:p w14:paraId="00000002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Bruncketts</w:t>
      </w:r>
      <w:proofErr w:type="spellEnd"/>
    </w:p>
    <w:p w14:paraId="00000003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Halls lane</w:t>
      </w:r>
    </w:p>
    <w:p w14:paraId="00000004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Waltham St. Lawrence</w:t>
      </w:r>
    </w:p>
    <w:p w14:paraId="00000005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Reading</w:t>
      </w:r>
    </w:p>
    <w:p w14:paraId="00000006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Berkshire RG10 0JE</w:t>
      </w:r>
    </w:p>
    <w:p w14:paraId="00000007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00000008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Interactive Investor</w:t>
      </w:r>
    </w:p>
    <w:p w14:paraId="00000009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Exchange Court</w:t>
      </w:r>
    </w:p>
    <w:p w14:paraId="0000000A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Duncombe Street</w:t>
      </w:r>
    </w:p>
    <w:p w14:paraId="0000000B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Leeds</w:t>
      </w:r>
    </w:p>
    <w:p w14:paraId="0000000C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LS1 4AX</w:t>
      </w:r>
    </w:p>
    <w:p w14:paraId="0000000D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E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For the Attention of Katie Lake</w:t>
      </w:r>
    </w:p>
    <w:p w14:paraId="0000000F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0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January 2021</w:t>
      </w:r>
    </w:p>
    <w:p w14:paraId="00000011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Dear Katie,</w:t>
      </w:r>
    </w:p>
    <w:p w14:paraId="00000013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Pension Transfer Request – Policy Number 961750</w:t>
      </w:r>
      <w:r>
        <w:rPr>
          <w:b/>
          <w:color w:val="000000"/>
        </w:rPr>
        <w:br/>
        <w:t>FORMA</w:t>
      </w:r>
      <w:r>
        <w:rPr>
          <w:b/>
        </w:rPr>
        <w:t>L COMPLAINT against Interactive Investors and Barnett Waddingham</w:t>
      </w:r>
    </w:p>
    <w:p w14:paraId="00000015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6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Further to your letter dated 04 December 2020 notifying the decision taken not to transfer my fund to </w:t>
      </w:r>
      <w:proofErr w:type="spellStart"/>
      <w:r>
        <w:rPr>
          <w:color w:val="000000"/>
        </w:rPr>
        <w:t>Whiterock</w:t>
      </w:r>
      <w:proofErr w:type="spellEnd"/>
      <w:r>
        <w:rPr>
          <w:color w:val="000000"/>
        </w:rPr>
        <w:t xml:space="preserve"> Ventures Ltd Pension Sche</w:t>
      </w:r>
      <w:r>
        <w:rPr>
          <w:color w:val="000000"/>
        </w:rPr>
        <w:t xml:space="preserve">me, please accept this letter as a formal complaint against this decision. </w:t>
      </w:r>
    </w:p>
    <w:p w14:paraId="00000017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8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Throughout the whole process of requesting my partial transfer from my ii </w:t>
      </w:r>
      <w:proofErr w:type="spellStart"/>
      <w:r>
        <w:rPr>
          <w:color w:val="000000"/>
        </w:rPr>
        <w:t>sipp</w:t>
      </w:r>
      <w:proofErr w:type="spellEnd"/>
      <w:r>
        <w:rPr>
          <w:color w:val="000000"/>
        </w:rPr>
        <w:t xml:space="preserve"> to my pension scheme, I have found the service provided by ii absolutely appalling.  The lack of com</w:t>
      </w:r>
      <w:r>
        <w:rPr>
          <w:color w:val="000000"/>
        </w:rPr>
        <w:t>munication, lack of knowledge, lack of understanding, lack of client care and service from ii has been dreadful.</w:t>
      </w:r>
    </w:p>
    <w:p w14:paraId="00000019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A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see detailed below and enclosed the trail events:</w:t>
      </w:r>
    </w:p>
    <w:p w14:paraId="0000001B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C" w14:textId="5242A7AC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30/06/2020 – Email from ii received confirming request of partial cash transfer rece</w:t>
      </w:r>
      <w:r>
        <w:rPr>
          <w:color w:val="000000"/>
        </w:rPr>
        <w:t xml:space="preserve">ived.  (Please see </w:t>
      </w:r>
      <w:r w:rsidR="00E4606B">
        <w:rPr>
          <w:color w:val="000000"/>
        </w:rPr>
        <w:t>attached</w:t>
      </w:r>
      <w:r>
        <w:rPr>
          <w:color w:val="000000"/>
        </w:rPr>
        <w:t>).</w:t>
      </w:r>
    </w:p>
    <w:p w14:paraId="0000001D" w14:textId="4B6EEF79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06/07/2020 – Email form ii received confirming request under review.  (Please see </w:t>
      </w:r>
      <w:r w:rsidR="00D91759">
        <w:rPr>
          <w:color w:val="000000"/>
        </w:rPr>
        <w:t>attached</w:t>
      </w:r>
      <w:r>
        <w:rPr>
          <w:color w:val="000000"/>
        </w:rPr>
        <w:t>).</w:t>
      </w:r>
    </w:p>
    <w:p w14:paraId="0000001E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08/07/2020 -  Telephone confirmation received from ii confirming approval of transfer.</w:t>
      </w:r>
    </w:p>
    <w:p w14:paraId="0000001F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13/07/2020 –  Telephone confirmation received </w:t>
      </w:r>
      <w:r>
        <w:rPr>
          <w:color w:val="000000"/>
        </w:rPr>
        <w:t>from ii that ii had sent transfer approval confirmation to RC Administration Ltd, the administrators of the receiving scheme.</w:t>
      </w:r>
    </w:p>
    <w:p w14:paraId="00000020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17/07/2020 – Email received from ii asking further questions.  (Please see attached).</w:t>
      </w:r>
    </w:p>
    <w:p w14:paraId="00000021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22/07/2020 – Email from Barnett Waddingham t</w:t>
      </w:r>
      <w:r>
        <w:rPr>
          <w:color w:val="000000"/>
        </w:rPr>
        <w:t>o RC Administration Ltd requesting confirmation on further questions.  (Please see attached).</w:t>
      </w:r>
    </w:p>
    <w:p w14:paraId="00000022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27/07/2020 – Email from RC Administration Ltd to Barnett Waddingham in response.  (Please see attached).</w:t>
      </w:r>
    </w:p>
    <w:p w14:paraId="00000023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31/07/2020 – Email received from ii, following my telephone chaser call to ii, confirming ii experiencing technical problems.  (Please see attached).</w:t>
      </w:r>
    </w:p>
    <w:p w14:paraId="00000024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8/09/2020 – RC Administration Ltd D</w:t>
      </w:r>
      <w:r>
        <w:t>u</w:t>
      </w:r>
      <w:r>
        <w:rPr>
          <w:color w:val="000000"/>
        </w:rPr>
        <w:t>e Diligence pack emailed to ii, further to my telephone chaser call with ii.</w:t>
      </w:r>
    </w:p>
    <w:p w14:paraId="00000025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03/11/2020 – Email received from ii confirming ii are carrying out due diligence and asking further questions.  (Please see attached).</w:t>
      </w:r>
    </w:p>
    <w:p w14:paraId="00000026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05/11/20</w:t>
      </w:r>
      <w:r>
        <w:rPr>
          <w:color w:val="000000"/>
        </w:rPr>
        <w:t>20 – My response to ii email dated 03/11/2020 – responded via ii account platform.</w:t>
      </w:r>
    </w:p>
    <w:p w14:paraId="00000027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04/12/2020 – ii Letter raised notifying me that the transfer has been rejected.</w:t>
      </w:r>
    </w:p>
    <w:p w14:paraId="00000028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9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trust that you will see that the trail of events detailed show a complete disaster.</w:t>
      </w:r>
    </w:p>
    <w:p w14:paraId="0000002A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B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wish to point out to ii:</w:t>
      </w:r>
    </w:p>
    <w:p w14:paraId="0000002C" w14:textId="77777777" w:rsidR="00E865CA" w:rsidRDefault="007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Throughout the failed transfer process, the </w:t>
      </w:r>
      <w:proofErr w:type="gramStart"/>
      <w:r>
        <w:rPr>
          <w:color w:val="000000"/>
        </w:rPr>
        <w:t>ii customer</w:t>
      </w:r>
      <w:proofErr w:type="gramEnd"/>
      <w:r>
        <w:rPr>
          <w:color w:val="000000"/>
        </w:rPr>
        <w:t xml:space="preserve"> service has been dreadful. </w:t>
      </w:r>
    </w:p>
    <w:p w14:paraId="0000002D" w14:textId="77777777" w:rsidR="00E865CA" w:rsidRDefault="007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I wish for my complaint to be formerly acknowledged and processed.  </w:t>
      </w:r>
    </w:p>
    <w:p w14:paraId="0000002E" w14:textId="77777777" w:rsidR="00E865CA" w:rsidRDefault="007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I wish for the decision to </w:t>
      </w:r>
      <w:r>
        <w:t>be overturned</w:t>
      </w:r>
      <w:r>
        <w:rPr>
          <w:color w:val="000000"/>
        </w:rPr>
        <w:t>.</w:t>
      </w:r>
    </w:p>
    <w:p w14:paraId="0000002F" w14:textId="77777777" w:rsidR="00E865CA" w:rsidRDefault="007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I wish for ii to learn from th</w:t>
      </w:r>
      <w:r>
        <w:rPr>
          <w:color w:val="000000"/>
        </w:rPr>
        <w:t>ese events.</w:t>
      </w:r>
    </w:p>
    <w:p w14:paraId="00000030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1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only reason for the transfer not to be made was on the grounds of pension liberation or the receiving scheme is not capable of a pension transfer being received.</w:t>
      </w:r>
    </w:p>
    <w:p w14:paraId="00000032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3" w14:textId="2A9A9392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My scheme has been recently tax registered, following a lengthy registration</w:t>
      </w:r>
      <w:r>
        <w:t xml:space="preserve"> process with HMRC, and I enclose of the latest screen shot showing it</w:t>
      </w:r>
      <w:r>
        <w:t>s tax registration status. I wish to use part of the funds as a loan into my business, which is the sponsoring employer for the pension scheme. It is my legal right to make this investm</w:t>
      </w:r>
      <w:r>
        <w:t>ent in accordance with HMRC regulations with a first charge security to protect my SSAS. Furthermore,</w:t>
      </w:r>
      <w:r>
        <w:t xml:space="preserve"> the registered administrator, will provide safeguarding provisions to ensure that the regulations are conformed to.  HMRC own practice clearly permits an e</w:t>
      </w:r>
      <w:r>
        <w:t>mployer related loan to be made and ii do not offer this facility, hence setting up a SSAS.  My pension fund is not being used for pension liberation.</w:t>
      </w:r>
    </w:p>
    <w:p w14:paraId="00000034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5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I do not get resolution, I shall refer both Barnett Waddingham and Interactive Investors to the Pensi</w:t>
      </w:r>
      <w:r>
        <w:t xml:space="preserve">ons Ombudsman for redress. </w:t>
      </w:r>
    </w:p>
    <w:p w14:paraId="00000036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7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look forward to hearing from you at your earliest convenience and trust that these matters will be attended to as soon as possible</w:t>
      </w:r>
      <w:r>
        <w:t xml:space="preserve"> and this decision to block a wholly legitimate pension investment into my business will be rev</w:t>
      </w:r>
      <w:r>
        <w:t xml:space="preserve">iewed. </w:t>
      </w:r>
    </w:p>
    <w:p w14:paraId="00000038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9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Yours </w:t>
      </w:r>
      <w:r>
        <w:t>s</w:t>
      </w:r>
      <w:r>
        <w:rPr>
          <w:color w:val="000000"/>
        </w:rPr>
        <w:t>incerely,</w:t>
      </w:r>
    </w:p>
    <w:p w14:paraId="0000003A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B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C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D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David Irving</w:t>
      </w:r>
    </w:p>
    <w:p w14:paraId="0000003E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F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c.c. Barnett Waddingham</w:t>
      </w:r>
    </w:p>
    <w:p w14:paraId="00000040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1" w14:textId="77777777" w:rsidR="00E865CA" w:rsidRDefault="00756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Enc.</w:t>
      </w:r>
    </w:p>
    <w:p w14:paraId="00000042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3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4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5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6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7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8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9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A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B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C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D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E" w14:textId="77777777" w:rsidR="00E865CA" w:rsidRDefault="00E8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E865C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166DA"/>
    <w:multiLevelType w:val="multilevel"/>
    <w:tmpl w:val="FDDCA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CA"/>
    <w:rsid w:val="00007C26"/>
    <w:rsid w:val="006E1C2B"/>
    <w:rsid w:val="007560A1"/>
    <w:rsid w:val="00D91759"/>
    <w:rsid w:val="00E4606B"/>
    <w:rsid w:val="00E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AAA2"/>
  <w15:docId w15:val="{A7C32BE6-74C1-4EC4-A63F-904C375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6</cp:revision>
  <dcterms:created xsi:type="dcterms:W3CDTF">2021-01-12T14:42:00Z</dcterms:created>
  <dcterms:modified xsi:type="dcterms:W3CDTF">2021-01-12T14:47:00Z</dcterms:modified>
</cp:coreProperties>
</file>