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E53F" w14:textId="0166794F" w:rsidR="00680BEB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Whiterock Ventures Ltd</w:t>
      </w:r>
    </w:p>
    <w:p w14:paraId="53487163" w14:textId="30DEC06E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Richmond House</w:t>
      </w:r>
    </w:p>
    <w:p w14:paraId="6C88FCEC" w14:textId="01C92BAA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Eastbourne Road</w:t>
      </w:r>
    </w:p>
    <w:p w14:paraId="1D9CD587" w14:textId="424EDED6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Blindley Heath</w:t>
      </w:r>
    </w:p>
    <w:p w14:paraId="66C7854A" w14:textId="4D8DBB25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Lingfield</w:t>
      </w:r>
    </w:p>
    <w:p w14:paraId="515167C3" w14:textId="69331763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RH7 6JX</w:t>
      </w:r>
    </w:p>
    <w:p w14:paraId="68152DB8" w14:textId="0F87D63F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</w:p>
    <w:p w14:paraId="6932DFAA" w14:textId="137184BD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For the Attention of: David Irving</w:t>
      </w:r>
    </w:p>
    <w:p w14:paraId="04FDF365" w14:textId="1D6F2E07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</w:p>
    <w:p w14:paraId="4D458F32" w14:textId="4DBC923D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14</w:t>
      </w:r>
      <w:r w:rsidRPr="00F22719">
        <w:rPr>
          <w:color w:val="222222"/>
          <w:sz w:val="22"/>
          <w:szCs w:val="22"/>
          <w:highlight w:val="white"/>
          <w:vertAlign w:val="superscript"/>
          <w:lang w:val="en-US"/>
        </w:rPr>
        <w:t>th</w:t>
      </w:r>
      <w:r>
        <w:rPr>
          <w:color w:val="222222"/>
          <w:sz w:val="22"/>
          <w:szCs w:val="22"/>
          <w:highlight w:val="white"/>
          <w:lang w:val="en-US"/>
        </w:rPr>
        <w:t xml:space="preserve"> May 2020</w:t>
      </w:r>
    </w:p>
    <w:p w14:paraId="564310D7" w14:textId="65E9EA69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</w:p>
    <w:p w14:paraId="59D2A3F9" w14:textId="2B9C7AC3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Dear David,</w:t>
      </w:r>
    </w:p>
    <w:p w14:paraId="2D1E64E8" w14:textId="77777777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</w:p>
    <w:p w14:paraId="53731B60" w14:textId="6D580519" w:rsidR="00F22719" w:rsidRDefault="00F22719" w:rsidP="00F22719">
      <w:pPr>
        <w:shd w:val="clear" w:color="auto" w:fill="FFFFFF"/>
        <w:spacing w:after="0"/>
        <w:outlineLvl w:val="3"/>
        <w:rPr>
          <w:rFonts w:eastAsia="Times New Roman"/>
          <w:b/>
          <w:bCs/>
          <w:color w:val="333333"/>
          <w:sz w:val="22"/>
          <w:szCs w:val="22"/>
        </w:rPr>
      </w:pPr>
      <w:r w:rsidRPr="00F22719">
        <w:rPr>
          <w:rFonts w:eastAsia="Times New Roman"/>
          <w:b/>
          <w:bCs/>
          <w:color w:val="333333"/>
          <w:sz w:val="22"/>
          <w:szCs w:val="22"/>
        </w:rPr>
        <w:t>Whiterock Ventures Ltd Pension Scheme </w:t>
      </w:r>
    </w:p>
    <w:p w14:paraId="64C8898A" w14:textId="7C516971" w:rsidR="00F22719" w:rsidRDefault="00F22719" w:rsidP="00F22719">
      <w:pPr>
        <w:shd w:val="clear" w:color="auto" w:fill="FFFFFF"/>
        <w:spacing w:after="0"/>
        <w:outlineLvl w:val="3"/>
        <w:rPr>
          <w:rFonts w:eastAsia="Times New Roman"/>
          <w:b/>
          <w:bCs/>
          <w:color w:val="333333"/>
          <w:sz w:val="22"/>
          <w:szCs w:val="22"/>
        </w:rPr>
      </w:pPr>
    </w:p>
    <w:p w14:paraId="5A470CFC" w14:textId="39E668D4" w:rsidR="00F22719" w:rsidRDefault="00F22719" w:rsidP="00F22719">
      <w:pPr>
        <w:shd w:val="clear" w:color="auto" w:fill="FFFFFF"/>
        <w:spacing w:after="0"/>
        <w:jc w:val="both"/>
        <w:outlineLvl w:val="3"/>
        <w:rPr>
          <w:rFonts w:eastAsia="Times New Roman"/>
          <w:color w:val="333333"/>
          <w:sz w:val="22"/>
          <w:szCs w:val="22"/>
        </w:rPr>
      </w:pPr>
      <w:r>
        <w:rPr>
          <w:rFonts w:eastAsia="Times New Roman"/>
          <w:color w:val="333333"/>
          <w:sz w:val="22"/>
          <w:szCs w:val="22"/>
        </w:rPr>
        <w:t>Please accept this letter as confirmation that Whiterock Ventures Ltd has applied to set up a pension scheme under the name of Whiterock Ventures Ltd Pension Scheme, with H</w:t>
      </w:r>
      <w:r w:rsidR="000914EF">
        <w:rPr>
          <w:rFonts w:eastAsia="Times New Roman"/>
          <w:color w:val="333333"/>
          <w:sz w:val="22"/>
          <w:szCs w:val="22"/>
        </w:rPr>
        <w:t>MRC</w:t>
      </w:r>
      <w:r>
        <w:rPr>
          <w:rFonts w:eastAsia="Times New Roman"/>
          <w:color w:val="333333"/>
          <w:sz w:val="22"/>
          <w:szCs w:val="22"/>
        </w:rPr>
        <w:t xml:space="preserve">.  </w:t>
      </w:r>
    </w:p>
    <w:p w14:paraId="41D313A2" w14:textId="59A50A63" w:rsidR="00F22719" w:rsidRDefault="00F22719" w:rsidP="00F22719">
      <w:pPr>
        <w:shd w:val="clear" w:color="auto" w:fill="FFFFFF"/>
        <w:spacing w:after="0"/>
        <w:jc w:val="both"/>
        <w:outlineLvl w:val="3"/>
        <w:rPr>
          <w:rFonts w:eastAsia="Times New Roman"/>
          <w:color w:val="333333"/>
          <w:sz w:val="22"/>
          <w:szCs w:val="22"/>
        </w:rPr>
      </w:pPr>
    </w:p>
    <w:p w14:paraId="2B8C5E52" w14:textId="1213A5D1" w:rsidR="00F22719" w:rsidRPr="00F22719" w:rsidRDefault="00F22719" w:rsidP="00F22719">
      <w:pPr>
        <w:shd w:val="clear" w:color="auto" w:fill="FFFFFF"/>
        <w:spacing w:after="0"/>
        <w:jc w:val="both"/>
        <w:outlineLvl w:val="3"/>
        <w:rPr>
          <w:rFonts w:eastAsia="Times New Roman"/>
          <w:color w:val="333333"/>
          <w:sz w:val="22"/>
          <w:szCs w:val="22"/>
        </w:rPr>
      </w:pPr>
      <w:r>
        <w:rPr>
          <w:rFonts w:eastAsia="Times New Roman"/>
          <w:color w:val="333333"/>
          <w:sz w:val="22"/>
          <w:szCs w:val="22"/>
        </w:rPr>
        <w:t>You should allow up to 8 weeks for tax exemption to be given and we will keep you updated.</w:t>
      </w:r>
    </w:p>
    <w:p w14:paraId="6A936A1D" w14:textId="345AC89B" w:rsidR="00F22719" w:rsidRDefault="00F22719" w:rsidP="00F22719">
      <w:pPr>
        <w:jc w:val="both"/>
        <w:rPr>
          <w:color w:val="222222"/>
          <w:sz w:val="22"/>
          <w:szCs w:val="22"/>
          <w:highlight w:val="white"/>
          <w:lang w:val="en-US"/>
        </w:rPr>
      </w:pPr>
    </w:p>
    <w:p w14:paraId="19CEB5A2" w14:textId="5C2DAB8A" w:rsidR="00F22719" w:rsidRDefault="00F22719" w:rsidP="00F22719">
      <w:pPr>
        <w:jc w:val="both"/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We will confirm to you as soon as the scheme has been tax registered and advise you of your PSTR Number with HMRC together with the scheme’s bank account details.</w:t>
      </w:r>
    </w:p>
    <w:p w14:paraId="5EE3917D" w14:textId="5B514DC9" w:rsidR="00F22719" w:rsidRDefault="00F22719" w:rsidP="00F22719">
      <w:pPr>
        <w:jc w:val="both"/>
        <w:rPr>
          <w:color w:val="222222"/>
          <w:sz w:val="22"/>
          <w:szCs w:val="22"/>
          <w:highlight w:val="white"/>
          <w:lang w:val="en-US"/>
        </w:rPr>
      </w:pPr>
    </w:p>
    <w:p w14:paraId="59220F01" w14:textId="071A2B34" w:rsidR="00F22719" w:rsidRDefault="00F22719" w:rsidP="00F22719">
      <w:pPr>
        <w:jc w:val="both"/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Please do not hesitate to contact me should you have any further queries.</w:t>
      </w:r>
    </w:p>
    <w:p w14:paraId="11F81102" w14:textId="74B12628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</w:p>
    <w:p w14:paraId="4B11C1B8" w14:textId="1A8EBA23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Yours Sincerely,</w:t>
      </w:r>
    </w:p>
    <w:p w14:paraId="16A74A15" w14:textId="2AD1BF87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</w:p>
    <w:p w14:paraId="4BAD64DA" w14:textId="7A98C244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Esther Salmon</w:t>
      </w:r>
    </w:p>
    <w:p w14:paraId="5161AA01" w14:textId="726B4B62" w:rsidR="00F22719" w:rsidRDefault="00F2271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Scheme Administrator</w:t>
      </w:r>
    </w:p>
    <w:p w14:paraId="6982D132" w14:textId="77777777" w:rsidR="00F22719" w:rsidRPr="00F22719" w:rsidRDefault="00F22719">
      <w:pPr>
        <w:rPr>
          <w:color w:val="222222"/>
          <w:sz w:val="22"/>
          <w:szCs w:val="22"/>
          <w:highlight w:val="white"/>
          <w:lang w:val="en-US"/>
        </w:rPr>
      </w:pPr>
    </w:p>
    <w:sectPr w:rsidR="00F22719" w:rsidRPr="00F22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5089C" w14:textId="77777777" w:rsidR="006C3688" w:rsidRDefault="006C3688">
      <w:pPr>
        <w:spacing w:after="0"/>
      </w:pPr>
      <w:r>
        <w:separator/>
      </w:r>
    </w:p>
  </w:endnote>
  <w:endnote w:type="continuationSeparator" w:id="0">
    <w:p w14:paraId="2AFDF38B" w14:textId="77777777" w:rsidR="006C3688" w:rsidRDefault="006C3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9167F" w14:textId="77777777" w:rsidR="006C3688" w:rsidRDefault="006C3688">
      <w:pPr>
        <w:spacing w:after="0"/>
      </w:pPr>
      <w:r>
        <w:separator/>
      </w:r>
    </w:p>
  </w:footnote>
  <w:footnote w:type="continuationSeparator" w:id="0">
    <w:p w14:paraId="47CEE1BC" w14:textId="77777777" w:rsidR="006C3688" w:rsidRDefault="006C36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914EF"/>
    <w:rsid w:val="000B4EA7"/>
    <w:rsid w:val="00131844"/>
    <w:rsid w:val="003D76C8"/>
    <w:rsid w:val="00680BEB"/>
    <w:rsid w:val="006C3688"/>
    <w:rsid w:val="00A27131"/>
    <w:rsid w:val="00F2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</cp:lastModifiedBy>
  <cp:revision>9</cp:revision>
  <dcterms:created xsi:type="dcterms:W3CDTF">2020-01-15T11:51:00Z</dcterms:created>
  <dcterms:modified xsi:type="dcterms:W3CDTF">2020-05-14T14:14:00Z</dcterms:modified>
</cp:coreProperties>
</file>