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9451F" w14:textId="63197931" w:rsidR="00E6537B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Mrs Clare Wilcox</w:t>
      </w:r>
    </w:p>
    <w:p w14:paraId="65615C29" w14:textId="59EFFB61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Head of KYC and Account Opening Eastern</w:t>
      </w:r>
    </w:p>
    <w:p w14:paraId="634B4702" w14:textId="16C8746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Barclays Bank</w:t>
      </w:r>
    </w:p>
    <w:p w14:paraId="668BA867" w14:textId="0E58126B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22-24 Upper Marlborough Road</w:t>
      </w:r>
    </w:p>
    <w:p w14:paraId="232645FF" w14:textId="707AC3A3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St Albans</w:t>
      </w:r>
    </w:p>
    <w:p w14:paraId="30B03A3A" w14:textId="4D14A369" w:rsid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AL1 3AL</w:t>
      </w:r>
    </w:p>
    <w:p w14:paraId="521B3584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C3A42A3" w14:textId="384F9A01" w:rsidR="001C1691" w:rsidRPr="001C1691" w:rsidRDefault="00DC5F3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18</w:t>
      </w:r>
      <w:r w:rsidRPr="00DC5F31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February 2015</w:t>
      </w:r>
    </w:p>
    <w:p w14:paraId="4C133D5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E056089" w14:textId="326A0A60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Dear Mrs Wilcox,</w:t>
      </w:r>
    </w:p>
    <w:p w14:paraId="6F5531F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91CC949" w14:textId="78CB38D3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Request to open a designated account for:-</w:t>
      </w:r>
    </w:p>
    <w:p w14:paraId="5062C924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74FF32F" w14:textId="3A08D437" w:rsidR="001C1691" w:rsidRDefault="00DC5F31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GBC Pension Scheme</w:t>
      </w:r>
    </w:p>
    <w:p w14:paraId="7FC2184B" w14:textId="23BFF605" w:rsidR="00DC5F31" w:rsidRPr="001C1691" w:rsidRDefault="00DC5F31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Existing Bank Details – 20-84-61 A/c 40658669</w:t>
      </w:r>
    </w:p>
    <w:p w14:paraId="15CD88ED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</w:p>
    <w:p w14:paraId="11353214" w14:textId="0E0952F2" w:rsidR="001C1691" w:rsidRPr="001C1691" w:rsidRDefault="00DC5F3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Further to our previous correspondence, the above scheme was previously with Denton’s who have now retired and the scheme is with us as Scheme Administrator</w:t>
      </w:r>
      <w:r w:rsidR="001C1691" w:rsidRPr="001C169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1C1691" w:rsidRPr="001C1691">
        <w:rPr>
          <w:rFonts w:asciiTheme="majorHAnsi" w:hAnsiTheme="majorHAnsi"/>
          <w:sz w:val="22"/>
          <w:szCs w:val="22"/>
        </w:rPr>
        <w:t xml:space="preserve">The scheme is UK HMRC approved with the registration number: </w:t>
      </w:r>
      <w:r>
        <w:rPr>
          <w:rFonts w:asciiTheme="majorHAnsi" w:hAnsiTheme="majorHAnsi"/>
          <w:sz w:val="22"/>
          <w:szCs w:val="22"/>
        </w:rPr>
        <w:t>00695712RR from 5/12/2007.</w:t>
      </w:r>
    </w:p>
    <w:p w14:paraId="6E6AE08E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535A611" w14:textId="5337E8FD" w:rsid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I enclose the following documents:</w:t>
      </w:r>
    </w:p>
    <w:p w14:paraId="07DCE69B" w14:textId="77777777" w:rsidR="00082D0D" w:rsidRPr="001C1691" w:rsidRDefault="00082D0D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630A507" w14:textId="31EA521E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Barclays SSAS Application Form</w:t>
      </w:r>
    </w:p>
    <w:p w14:paraId="2F2ECFE5" w14:textId="6080848A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Trust Customer Agreement</w:t>
      </w:r>
    </w:p>
    <w:p w14:paraId="055D1F25" w14:textId="139A8790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Certified copy of the Administration Agreement</w:t>
      </w:r>
    </w:p>
    <w:p w14:paraId="60197754" w14:textId="373BB3C2" w:rsid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Signature list for 3110950 t/a Cranfords</w:t>
      </w:r>
    </w:p>
    <w:p w14:paraId="058ECE07" w14:textId="2F9B0D1C" w:rsidR="00DC5F31" w:rsidRPr="001C1691" w:rsidRDefault="00DC5F3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Copy of the Deed removing Denton’s. Denton’s have already been in touch with the existing Barclays contact with a copy also.</w:t>
      </w:r>
    </w:p>
    <w:p w14:paraId="728E03A2" w14:textId="77777777" w:rsidR="001C1691" w:rsidRPr="001C1691" w:rsidRDefault="001C1691" w:rsidP="001C1691">
      <w:pPr>
        <w:spacing w:after="0"/>
        <w:ind w:right="-1113"/>
        <w:rPr>
          <w:rFonts w:asciiTheme="majorHAnsi" w:hAnsiTheme="majorHAnsi"/>
          <w:sz w:val="22"/>
          <w:szCs w:val="22"/>
        </w:rPr>
      </w:pPr>
    </w:p>
    <w:p w14:paraId="03461A04" w14:textId="2EBFEA56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Any interest should be paid on a gross basis into the pension scheme bank account.</w:t>
      </w:r>
    </w:p>
    <w:p w14:paraId="03AFE06C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79B9F786" w14:textId="033D62B3" w:rsidR="00DC5F31" w:rsidRDefault="00DC5F3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can you arrange for the existing account to have </w:t>
      </w:r>
      <w:proofErr w:type="spellStart"/>
      <w:r>
        <w:rPr>
          <w:rFonts w:asciiTheme="majorHAnsi" w:hAnsiTheme="majorHAnsi"/>
          <w:sz w:val="22"/>
          <w:szCs w:val="22"/>
        </w:rPr>
        <w:t>Dentons</w:t>
      </w:r>
      <w:proofErr w:type="spellEnd"/>
      <w:r>
        <w:rPr>
          <w:rFonts w:asciiTheme="majorHAnsi" w:hAnsiTheme="majorHAnsi"/>
          <w:sz w:val="22"/>
          <w:szCs w:val="22"/>
        </w:rPr>
        <w:t xml:space="preserve"> removed as a signatory and for the account to be changed to reflect the usual set up for Cranfords as sole signatory with online banking access.</w:t>
      </w:r>
    </w:p>
    <w:p w14:paraId="6A52BD84" w14:textId="77777777" w:rsidR="00DC5F31" w:rsidRDefault="00DC5F3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65001629" w14:textId="4F5F1862" w:rsidR="00DC5F31" w:rsidRDefault="00DC5F3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look forward to receiving the confirmation.</w:t>
      </w:r>
    </w:p>
    <w:p w14:paraId="0E375141" w14:textId="77777777" w:rsidR="00DC5F31" w:rsidRDefault="00DC5F31" w:rsidP="001C1691">
      <w:pPr>
        <w:ind w:left="-851" w:right="-1113"/>
        <w:rPr>
          <w:rFonts w:asciiTheme="majorHAnsi" w:hAnsiTheme="majorHAnsi"/>
          <w:sz w:val="22"/>
          <w:szCs w:val="22"/>
        </w:rPr>
      </w:pPr>
    </w:p>
    <w:p w14:paraId="6C783842" w14:textId="5B132C4B" w:rsidR="001C1691" w:rsidRDefault="001C1691" w:rsidP="001C1691">
      <w:pPr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Yours sincerely</w:t>
      </w:r>
    </w:p>
    <w:p w14:paraId="16BFCC2F" w14:textId="77777777" w:rsidR="00DC5F31" w:rsidRPr="001C1691" w:rsidRDefault="00DC5F31" w:rsidP="001C1691">
      <w:pPr>
        <w:ind w:left="-851" w:right="-1113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561F20C" w14:textId="72A9ABE0" w:rsidR="001C1691" w:rsidRPr="001C1691" w:rsidRDefault="00DC5F31" w:rsidP="001C1691">
      <w:pPr>
        <w:spacing w:after="0"/>
        <w:ind w:left="-851" w:right="-111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Toni Haynes</w:t>
      </w:r>
    </w:p>
    <w:p w14:paraId="198F5768" w14:textId="4118D165" w:rsidR="001C1691" w:rsidRPr="001C1691" w:rsidRDefault="00DC5F31" w:rsidP="001C1691">
      <w:pPr>
        <w:spacing w:after="0"/>
        <w:ind w:left="-851" w:right="-111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Technical Director</w:t>
      </w:r>
    </w:p>
    <w:sectPr w:rsidR="001C1691" w:rsidRPr="001C1691" w:rsidSect="006C3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61" w:right="1814" w:bottom="2410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3228" w14:textId="77777777" w:rsidR="00060054" w:rsidRDefault="00060054" w:rsidP="00C51545">
      <w:r>
        <w:separator/>
      </w:r>
    </w:p>
  </w:endnote>
  <w:endnote w:type="continuationSeparator" w:id="0">
    <w:p w14:paraId="6AFFB6CD" w14:textId="77777777" w:rsidR="00060054" w:rsidRDefault="00060054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A0B3" w14:textId="77777777" w:rsidR="004451FB" w:rsidRDefault="0044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470F5" w14:textId="249FDAAA" w:rsidR="00060054" w:rsidRDefault="00B3098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DF7B8" wp14:editId="0EC2CAB6">
              <wp:simplePos x="0" y="0"/>
              <wp:positionH relativeFrom="column">
                <wp:posOffset>-902335</wp:posOffset>
              </wp:positionH>
              <wp:positionV relativeFrom="paragraph">
                <wp:posOffset>-422910</wp:posOffset>
              </wp:positionV>
              <wp:extent cx="7194550" cy="723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A47F" w14:textId="00F6E66B" w:rsidR="00060054" w:rsidRPr="002B18E1" w:rsidRDefault="00060054" w:rsidP="006C399F">
                          <w:pPr>
                            <w:jc w:val="center"/>
                            <w:rPr>
                              <w:b/>
                            </w:rPr>
                          </w:pPr>
                          <w:r w:rsidRPr="002B18E1">
                            <w:rPr>
                              <w:b/>
                              <w:color w:val="F6BC5A"/>
                            </w:rPr>
                            <w:t>t:</w:t>
                          </w:r>
                          <w:r w:rsidRPr="002B18E1">
                            <w:rPr>
                              <w:b/>
                            </w:rPr>
                            <w:t xml:space="preserve"> 0844 410 0037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f:</w:t>
                          </w:r>
                          <w:r w:rsidRPr="002B18E1">
                            <w:rPr>
                              <w:b/>
                            </w:rPr>
                            <w:t xml:space="preserve"> 0844 410 0038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e:</w:t>
                          </w:r>
                          <w:r w:rsidRPr="002B18E1">
                            <w:rPr>
                              <w:b/>
                            </w:rPr>
                            <w:t xml:space="preserve"> admin@cranfords.biz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w:</w:t>
                          </w:r>
                          <w:r w:rsidRPr="002B18E1">
                            <w:rPr>
                              <w:b/>
                            </w:rPr>
                            <w:t xml:space="preserve"> www.cranfords.biz </w:t>
                          </w:r>
                        </w:p>
                        <w:p w14:paraId="6D71DDD8" w14:textId="19DD75E3" w:rsidR="00060054" w:rsidRDefault="00060054" w:rsidP="006C399F">
                          <w:pPr>
                            <w:jc w:val="center"/>
                          </w:pPr>
                          <w:r w:rsidRPr="006C399F">
                            <w:t>Cranfords is the trading style of the company registered under the name of 3110950 at 1 The Pavilions</w:t>
                          </w:r>
                          <w:r>
                            <w:t xml:space="preserve">, </w:t>
                          </w:r>
                          <w:r>
                            <w:br/>
                          </w:r>
                          <w:r w:rsidRPr="006C399F">
                            <w:t xml:space="preserve">Cranford Drive, Knutsford Business Park, Knutsford, Cheshire WA16 8ZR </w:t>
                          </w:r>
                          <w:r>
                            <w:br/>
                            <w:t>and name of 3110950 Limited.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DDF7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1.05pt;margin-top:-33.3pt;width:566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i5rgIAAKw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" filled="f" stroked="f">
              <v:textbox>
                <w:txbxContent>
                  <w:p w14:paraId="04C1A47F" w14:textId="00F6E66B" w:rsidR="00060054" w:rsidRPr="002B18E1" w:rsidRDefault="00060054" w:rsidP="006C399F">
                    <w:pPr>
                      <w:jc w:val="center"/>
                      <w:rPr>
                        <w:b/>
                      </w:rPr>
                    </w:pPr>
                    <w:r w:rsidRPr="002B18E1">
                      <w:rPr>
                        <w:b/>
                        <w:color w:val="F6BC5A"/>
                      </w:rPr>
                      <w:t>t:</w:t>
                    </w:r>
                    <w:r w:rsidRPr="002B18E1">
                      <w:rPr>
                        <w:b/>
                      </w:rPr>
                      <w:t xml:space="preserve"> 0844 410 </w:t>
                    </w:r>
                    <w:r w:rsidRPr="002B18E1">
                      <w:rPr>
                        <w:b/>
                      </w:rPr>
                      <w:t>00</w:t>
                    </w:r>
                    <w:bookmarkStart w:id="1" w:name="_GoBack"/>
                    <w:bookmarkEnd w:id="1"/>
                    <w:r w:rsidRPr="002B18E1">
                      <w:rPr>
                        <w:b/>
                      </w:rPr>
                      <w:t xml:space="preserve">37  </w:t>
                    </w:r>
                    <w:r w:rsidRPr="002B18E1">
                      <w:rPr>
                        <w:b/>
                        <w:color w:val="F6BC5A"/>
                      </w:rPr>
                      <w:t>f:</w:t>
                    </w:r>
                    <w:r w:rsidRPr="002B18E1">
                      <w:rPr>
                        <w:b/>
                      </w:rPr>
                      <w:t xml:space="preserve"> 0844 410 0038  </w:t>
                    </w:r>
                    <w:r w:rsidRPr="002B18E1">
                      <w:rPr>
                        <w:b/>
                        <w:color w:val="F6BC5A"/>
                      </w:rPr>
                      <w:t>e:</w:t>
                    </w:r>
                    <w:r w:rsidRPr="002B18E1">
                      <w:rPr>
                        <w:b/>
                      </w:rPr>
                      <w:t xml:space="preserve"> admin@cranfords.biz </w:t>
                    </w:r>
                    <w:r w:rsidRPr="002B18E1">
                      <w:rPr>
                        <w:b/>
                        <w:color w:val="F6BC5A"/>
                      </w:rPr>
                      <w:t>w:</w:t>
                    </w:r>
                    <w:r w:rsidRPr="002B18E1">
                      <w:rPr>
                        <w:b/>
                      </w:rPr>
                      <w:t xml:space="preserve"> www.cranfords.biz </w:t>
                    </w:r>
                  </w:p>
                  <w:p w14:paraId="6D71DDD8" w14:textId="19DD75E3" w:rsidR="00060054" w:rsidRDefault="00060054" w:rsidP="006C399F">
                    <w:pPr>
                      <w:jc w:val="center"/>
                    </w:pPr>
                    <w:r w:rsidRPr="006C399F">
                      <w:t>Cranfords is the trading style of the company registered under the name of 3110950 at 1 The Pavilions</w:t>
                    </w:r>
                    <w:r>
                      <w:t xml:space="preserve">, </w:t>
                    </w:r>
                    <w:r>
                      <w:br/>
                    </w:r>
                    <w:r w:rsidRPr="006C399F">
                      <w:t xml:space="preserve">Cranford Drive, Knutsford Business Park, Knutsford, Cheshire WA16 8ZR </w:t>
                    </w:r>
                    <w:r>
                      <w:br/>
                      <w:t>and name of 3110950 Limited.</w:t>
                    </w:r>
                  </w:p>
                </w:txbxContent>
              </v:textbox>
            </v:shape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67EC3" wp14:editId="239463BB">
              <wp:simplePos x="0" y="0"/>
              <wp:positionH relativeFrom="column">
                <wp:posOffset>-915035</wp:posOffset>
              </wp:positionH>
              <wp:positionV relativeFrom="paragraph">
                <wp:posOffset>389890</wp:posOffset>
              </wp:positionV>
              <wp:extent cx="7200900" cy="107755"/>
              <wp:effectExtent l="0" t="0" r="1270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107755"/>
                      </a:xfrm>
                      <a:prstGeom prst="rect">
                        <a:avLst/>
                      </a:prstGeom>
                      <a:solidFill>
                        <a:srgbClr val="C8E5E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0F3E52" id="Rectangle 18" o:spid="_x0000_s1026" style="position:absolute;margin-left:-72.05pt;margin-top:30.7pt;width:567pt;height: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" fillcolor="#c8e5ed" stroked="f"/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B10B1" wp14:editId="51F92188">
              <wp:simplePos x="0" y="0"/>
              <wp:positionH relativeFrom="column">
                <wp:posOffset>-914400</wp:posOffset>
              </wp:positionH>
              <wp:positionV relativeFrom="paragraph">
                <wp:posOffset>-746760</wp:posOffset>
              </wp:positionV>
              <wp:extent cx="7200900" cy="271145"/>
              <wp:effectExtent l="0" t="0" r="12700" b="825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42AB6162" w14:textId="59D5A64D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AD634B" wp14:editId="16355E29">
                                <wp:extent cx="7200900" cy="259080"/>
                                <wp:effectExtent l="0" t="0" r="1270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oter-part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9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>
                            <w:t>ttttt</w:t>
                          </w:r>
                          <w:proofErr w:type="spellEnd"/>
                          <w:proofErr w:type="gramEnd"/>
                          <w:r>
                            <w:br/>
                          </w:r>
                        </w:p>
                        <w:p w14:paraId="43C3B282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5A4112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231C1AE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09E00DE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342B1868" w14:textId="672CF477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35588313" wp14:editId="1CA6EF2D">
                                    <wp:extent cx="6858000" cy="685800"/>
                                    <wp:effectExtent l="0" t="0" r="0" b="0"/>
                                    <wp:docPr id="12" name="Text Box 1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68580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      <w10:anchorlock/>
                                  </v:shape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B7B10B1" id="Text Box 3" o:spid="_x0000_s1028" type="#_x0000_t202" style="position:absolute;margin-left:-1in;margin-top:-58.8pt;width:56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" filled="f" stroked="f">
              <v:textbox inset="0,0,0,0">
                <w:txbxContent>
                  <w:p w14:paraId="42AB6162" w14:textId="59D5A64D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AD634B" wp14:editId="16355E29">
                          <wp:extent cx="7200900" cy="259080"/>
                          <wp:effectExtent l="0" t="0" r="1270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oter-part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9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>
                      <w:t>ttttt</w:t>
                    </w:r>
                    <w:proofErr w:type="spellEnd"/>
                    <w:proofErr w:type="gramEnd"/>
                    <w:r>
                      <w:br/>
                    </w:r>
                  </w:p>
                  <w:p w14:paraId="43C3B282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5A4112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231C1AE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09E00DE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342B1868" w14:textId="672CF477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mc:AlternateContent>
                        <mc:Choice Requires="wps">
                          <w:drawing>
                            <wp:inline distT="0" distB="0" distL="0" distR="0" wp14:anchorId="35588313" wp14:editId="1CA6EF2D">
                              <wp:extent cx="6858000" cy="685800"/>
                              <wp:effectExtent l="0" t="0" r="0" b="0"/>
                              <wp:docPr id="12" name="Text Box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68580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 w14:anchorId="334B194F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<w10:anchorlock/>
                            </v:shape>
                          </w:pict>
                        </mc:Fallback>
                      </mc:AlternateConten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DE1D" w14:textId="77777777" w:rsidR="004451FB" w:rsidRDefault="0044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1B95" w14:textId="77777777" w:rsidR="00060054" w:rsidRDefault="00060054" w:rsidP="00C51545">
      <w:r>
        <w:separator/>
      </w:r>
    </w:p>
  </w:footnote>
  <w:footnote w:type="continuationSeparator" w:id="0">
    <w:p w14:paraId="7C9AD893" w14:textId="77777777" w:rsidR="00060054" w:rsidRDefault="00060054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08FE" w14:textId="77777777" w:rsidR="004451FB" w:rsidRDefault="00445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510D" w14:textId="2E9915DA" w:rsidR="00060054" w:rsidRDefault="000600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8152D" wp14:editId="67852DC8">
              <wp:simplePos x="0" y="0"/>
              <wp:positionH relativeFrom="column">
                <wp:posOffset>-914400</wp:posOffset>
              </wp:positionH>
              <wp:positionV relativeFrom="paragraph">
                <wp:posOffset>-389890</wp:posOffset>
              </wp:positionV>
              <wp:extent cx="7200000" cy="1980000"/>
              <wp:effectExtent l="0" t="0" r="139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FD8B" w14:textId="3F729F09" w:rsidR="00060054" w:rsidRDefault="0006005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4C0578" wp14:editId="078CDDD0">
                                <wp:extent cx="7200000" cy="1822769"/>
                                <wp:effectExtent l="0" t="0" r="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ad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0" cy="182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E815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in;margin-top:-30.7pt;width:566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" filled="f" stroked="f">
              <v:textbox inset="0,4mm,0,0">
                <w:txbxContent>
                  <w:p w14:paraId="1B02FD8B" w14:textId="3F729F09" w:rsidR="00060054" w:rsidRDefault="0006005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4C0578" wp14:editId="078CDDD0">
                          <wp:extent cx="7200000" cy="1822769"/>
                          <wp:effectExtent l="0" t="0" r="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ad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0" cy="182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386A" w14:textId="77777777" w:rsidR="004451FB" w:rsidRDefault="0044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22"/>
    <w:rsid w:val="00060054"/>
    <w:rsid w:val="00082D0D"/>
    <w:rsid w:val="001C1691"/>
    <w:rsid w:val="002A38C6"/>
    <w:rsid w:val="002B18E1"/>
    <w:rsid w:val="004451FB"/>
    <w:rsid w:val="00501A3A"/>
    <w:rsid w:val="005801D1"/>
    <w:rsid w:val="00587477"/>
    <w:rsid w:val="00687DC1"/>
    <w:rsid w:val="006C399F"/>
    <w:rsid w:val="008E2DEB"/>
    <w:rsid w:val="00971529"/>
    <w:rsid w:val="00A318F3"/>
    <w:rsid w:val="00A74EAD"/>
    <w:rsid w:val="00B0046D"/>
    <w:rsid w:val="00B30981"/>
    <w:rsid w:val="00BD6612"/>
    <w:rsid w:val="00C51545"/>
    <w:rsid w:val="00C74F22"/>
    <w:rsid w:val="00DC5F31"/>
    <w:rsid w:val="00E6537B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EC8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FB79A-0EEC-4220-A5E5-9D9EC294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Toni Ross</cp:lastModifiedBy>
  <cp:revision>2</cp:revision>
  <cp:lastPrinted>2015-01-15T10:12:00Z</cp:lastPrinted>
  <dcterms:created xsi:type="dcterms:W3CDTF">2015-02-18T11:39:00Z</dcterms:created>
  <dcterms:modified xsi:type="dcterms:W3CDTF">2015-02-18T11:39:00Z</dcterms:modified>
</cp:coreProperties>
</file>