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ff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The Cattanach Family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color w:val="000000"/>
        </w:rPr>
      </w:pPr>
      <w:r w:rsidDel="00000000" w:rsidR="00000000" w:rsidRPr="00000000">
        <w:rPr>
          <w:rFonts w:ascii="Arial" w:cs="Arial" w:eastAsia="Arial" w:hAnsi="Arial"/>
          <w:b w:val="1"/>
          <w:rtl w:val="0"/>
        </w:rPr>
        <w:t xml:space="preserve">Rooftec (Scotland) Ltd</w:t>
      </w:r>
      <w:r w:rsidDel="00000000" w:rsidR="00000000" w:rsidRPr="00000000">
        <w:rPr>
          <w:rFonts w:ascii="Arial" w:cs="Arial" w:eastAsia="Arial" w:hAnsi="Arial"/>
          <w:color w:val="000000"/>
          <w:rtl w:val="0"/>
        </w:rPr>
        <w:t xml:space="preserve"> whose registration number is </w:t>
      </w:r>
      <w:r w:rsidDel="00000000" w:rsidR="00000000" w:rsidRPr="00000000">
        <w:rPr>
          <w:rFonts w:ascii="Arial" w:cs="Arial" w:eastAsia="Arial" w:hAnsi="Arial"/>
          <w:rtl w:val="0"/>
        </w:rPr>
        <w:t xml:space="preserve">SC340284 and whose registered office is situated at </w:t>
      </w:r>
      <w:r w:rsidDel="00000000" w:rsidR="00000000" w:rsidRPr="00000000">
        <w:rPr>
          <w:rFonts w:ascii="Arial" w:cs="Arial" w:eastAsia="Arial" w:hAnsi="Arial"/>
          <w:color w:val="000000"/>
          <w:highlight w:val="white"/>
          <w:rtl w:val="0"/>
        </w:rPr>
        <w:t xml:space="preserve">12 Abbotsinch Road, Grangemouth, Scotland, FK3 9UX</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Employer</w:t>
      </w:r>
      <w:r w:rsidDel="00000000" w:rsidR="00000000" w:rsidRPr="00000000">
        <w:rPr>
          <w:rFonts w:ascii="Arial" w:cs="Arial" w:eastAsia="Arial" w:hAnsi="Arial"/>
          <w:color w:val="000000"/>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Mark Mitchell Cattanach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Nicola Margaret Cattanach</w:t>
      </w:r>
      <w:r w:rsidDel="00000000" w:rsidR="00000000" w:rsidRPr="00000000">
        <w:rPr>
          <w:rFonts w:ascii="Arial" w:cs="Arial" w:eastAsia="Arial" w:hAnsi="Arial"/>
          <w:color w:val="000000"/>
          <w:rtl w:val="0"/>
        </w:rPr>
        <w:t xml:space="preserve"> both of </w:t>
      </w:r>
      <w:r w:rsidDel="00000000" w:rsidR="00000000" w:rsidRPr="00000000">
        <w:rPr>
          <w:rFonts w:ascii="Arial" w:cs="Arial" w:eastAsia="Arial" w:hAnsi="Arial"/>
          <w:rtl w:val="0"/>
        </w:rPr>
        <w:t xml:space="preserve">21 Easton Drive, Shieldhill, Falkirk, FK1 2DR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000000"/>
          <w:rtl w:val="0"/>
        </w:rPr>
        <w:t xml:space="preserve">(the "</w:t>
      </w:r>
      <w:r w:rsidDel="00000000" w:rsidR="00000000" w:rsidRPr="00000000">
        <w:rPr>
          <w:rFonts w:ascii="Arial" w:cs="Arial" w:eastAsia="Arial" w:hAnsi="Arial"/>
          <w:b w:val="1"/>
          <w:color w:val="0a0c0c"/>
          <w:rtl w:val="0"/>
        </w:rPr>
        <w:t xml:space="preserve">Trustee(s)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w:t>
      </w:r>
      <w:r w:rsidDel="00000000" w:rsidR="00000000" w:rsidRPr="00000000">
        <w:rPr>
          <w:rFonts w:ascii="Arial" w:cs="Arial" w:eastAsia="Arial" w:hAnsi="Arial"/>
          <w:b w:val="1"/>
          <w:rtl w:val="0"/>
        </w:rPr>
        <w:t xml:space="preserve">The Cattanach Family SSAS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Rooftec (Scotland) Ltd</w:t>
      </w:r>
      <w:r w:rsidDel="00000000" w:rsidR="00000000" w:rsidRPr="00000000">
        <w:rPr>
          <w:rFonts w:ascii="Arial" w:cs="Arial" w:eastAsia="Arial" w:hAnsi="Arial"/>
          <w:b w:val="1"/>
          <w:color w:val="ff0000"/>
          <w:rtl w:val="0"/>
        </w:rPr>
        <w:t xml:space="preserve"> </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ff0000"/>
        </w:rPr>
      </w:pP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rtl w:val="0"/>
        </w:rPr>
        <w:t xml:space="preserve">Mark Mitchell Cattanach</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Mark Mitchell Cattanach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before="213" w:line="240" w:lineRule="auto"/>
        <w:rPr>
          <w:rFonts w:ascii="Arial" w:cs="Arial" w:eastAsia="Arial" w:hAnsi="Arial"/>
        </w:rPr>
      </w:pPr>
      <w:r w:rsidDel="00000000" w:rsidR="00000000" w:rsidRPr="00000000">
        <w:rPr>
          <w:rFonts w:ascii="Arial" w:cs="Arial" w:eastAsia="Arial" w:hAnsi="Arial"/>
          <w:rtl w:val="0"/>
        </w:rPr>
        <w:t xml:space="preserve">  Signed as a Deed by:</w:t>
      </w:r>
    </w:p>
    <w:p w:rsidR="00000000" w:rsidDel="00000000" w:rsidP="00000000" w:rsidRDefault="00000000" w:rsidRPr="00000000" w14:paraId="0000005F">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Arial" w:cs="Arial" w:eastAsia="Arial" w:hAnsi="Arial"/>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b w:val="1"/>
          <w:color w:val="ff0000"/>
        </w:rPr>
      </w:pPr>
      <w:r w:rsidDel="00000000" w:rsidR="00000000" w:rsidRPr="00000000">
        <w:rPr>
          <w:rFonts w:ascii="Arial" w:cs="Arial" w:eastAsia="Arial" w:hAnsi="Arial"/>
          <w:b w:val="1"/>
          <w:rtl w:val="0"/>
        </w:rPr>
        <w:t xml:space="preserve">  Nicola Margaret Cattanach</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color w:val="00000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DefaultParagraphFont"/>
    <w:rsid w:val="00F010B8"/>
    <w:rPr>
      <w:rFonts w:ascii="Arial" w:cs="Arial" w:hAnsi="Arial" w:hint="default"/>
      <w:b w:val="1"/>
      <w:bCs w:val="1"/>
      <w:i w:val="0"/>
      <w:iCs w:val="0"/>
      <w:color w:val="0a0c0c"/>
      <w:sz w:val="22"/>
      <w:szCs w:val="22"/>
    </w:rPr>
  </w:style>
  <w:style w:type="character" w:styleId="fontstyle21" w:customStyle="1">
    <w:name w:val="fontstyle21"/>
    <w:basedOn w:val="DefaultParagraphFont"/>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9NWvw2m6KLHt7YbMwCYyV8iXg==">CgMxLjAyCGguZ2pkZ3hzOAByITFmU1lzZTZHMkhQcDFib3NVXzBMVzloRlB5eWRiRmIyMQ==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d17e33950c6d5a81f9d1396b83404002beb058ecc5ac181127c21d0dcd4b6cdc</vt:lpwstr>
  </property>
</Properties>
</file>