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highlight w:val="yellow"/>
          <w:rtl w:val="0"/>
        </w:rPr>
        <w:t xml:space="preserve">NAME OF SCHEME -</w:t>
      </w:r>
      <w:r w:rsidDel="00000000" w:rsidR="00000000" w:rsidRPr="00000000">
        <w:rPr>
          <w:rFonts w:ascii="Arial" w:cs="Arial" w:eastAsia="Arial" w:hAnsi="Arial"/>
          <w:color w:val="222222"/>
          <w:highlight w:val="yellow"/>
          <w:rtl w:val="0"/>
        </w:rPr>
        <w:t xml:space="preserve">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rtl w:val="0"/>
        </w:rPr>
        <w:t xml:space="preserve"> acting as Trustee of the </w:t>
      </w:r>
      <w:r w:rsidDel="00000000" w:rsidR="00000000" w:rsidRPr="00000000">
        <w:rPr>
          <w:rFonts w:ascii="Arial" w:cs="Arial" w:eastAsia="Arial" w:hAnsi="Arial"/>
          <w:highlight w:val="yellow"/>
          <w:rtl w:val="0"/>
        </w:rPr>
        <w:t xml:space="preserve">NAME OF SCHEME - SSAS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  Practitioners Partnership LP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w:t>
      </w: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rtl w:val="0"/>
        </w:rPr>
        <w:br w:type="textWrapping"/>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highlight w:val="yellow"/>
          <w:rtl w:val="0"/>
        </w:rPr>
        <w:t xml:space="preserve">NAME OF TRUSTEE/S</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For Retirement Capital</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2">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4">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2019-09-11T13:32:00Z</dcterms:created>
  <dc:creator>Shelly</dc:creator>
</cp:coreProperties>
</file>