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CE6D6F" w:rsidP="00061FC3">
      <w:pPr>
        <w:jc w:val="center"/>
        <w:rPr>
          <w:rFonts w:cs="Arial"/>
          <w:color w:val="808080"/>
          <w:sz w:val="22"/>
          <w:szCs w:val="22"/>
        </w:rPr>
      </w:pPr>
      <w:r w:rsidRPr="00CE6D6F">
        <w:rPr>
          <w:rFonts w:cs="Arial"/>
          <w:b/>
          <w:noProof/>
          <w:sz w:val="22"/>
          <w:szCs w:val="22"/>
        </w:rPr>
        <w:t>SMC Limited SSAS</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CE6D6F" w:rsidP="00CE6D6F">
      <w:pPr>
        <w:pStyle w:val="ListParagraph"/>
        <w:numPr>
          <w:ilvl w:val="0"/>
          <w:numId w:val="9"/>
        </w:numPr>
        <w:rPr>
          <w:rFonts w:cs="Arial"/>
          <w:sz w:val="22"/>
          <w:szCs w:val="22"/>
        </w:rPr>
      </w:pPr>
      <w:r w:rsidRPr="00CE6D6F">
        <w:rPr>
          <w:rFonts w:cs="Arial"/>
          <w:sz w:val="22"/>
          <w:szCs w:val="22"/>
        </w:rPr>
        <w:t xml:space="preserve">Sheffield Motorcycle Centre Limited (Company Number 05797684) whose registered office is at 35 Walker Street, Wicker Arches, Sheffield, South Yorkshire, S3 8GZ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sz w:val="22"/>
          <w:szCs w:val="22"/>
        </w:rPr>
      </w:pPr>
    </w:p>
    <w:p w:rsidR="00BA4FEE" w:rsidRPr="00D25082" w:rsidRDefault="00CE6D6F" w:rsidP="00CE6D6F">
      <w:pPr>
        <w:pStyle w:val="ListParagraph"/>
        <w:numPr>
          <w:ilvl w:val="0"/>
          <w:numId w:val="9"/>
        </w:numPr>
        <w:rPr>
          <w:rFonts w:cs="Arial"/>
          <w:noProof/>
          <w:sz w:val="22"/>
          <w:szCs w:val="22"/>
        </w:rPr>
      </w:pPr>
      <w:r w:rsidRPr="00CE6D6F">
        <w:rPr>
          <w:rFonts w:cs="Arial"/>
          <w:sz w:val="22"/>
          <w:szCs w:val="22"/>
        </w:rPr>
        <w:t xml:space="preserve">Frank Hayes of The Coach House, </w:t>
      </w:r>
      <w:proofErr w:type="spellStart"/>
      <w:r w:rsidRPr="00CE6D6F">
        <w:rPr>
          <w:rFonts w:cs="Arial"/>
          <w:sz w:val="22"/>
          <w:szCs w:val="22"/>
        </w:rPr>
        <w:t>Aughton</w:t>
      </w:r>
      <w:proofErr w:type="spellEnd"/>
      <w:r w:rsidRPr="00CE6D6F">
        <w:rPr>
          <w:rFonts w:cs="Arial"/>
          <w:sz w:val="22"/>
          <w:szCs w:val="22"/>
        </w:rPr>
        <w:t xml:space="preserve"> Court, Church Lane, Aston, Sheffield, South Yorkshire, S26 2AX </w:t>
      </w:r>
      <w:r w:rsidR="000E1E22" w:rsidRPr="00D25082">
        <w:rPr>
          <w:rFonts w:cs="Arial"/>
          <w:sz w:val="22"/>
          <w:szCs w:val="22"/>
        </w:rPr>
        <w:t>(</w:t>
      </w:r>
      <w:r w:rsidR="00201A32">
        <w:rPr>
          <w:rFonts w:cs="Arial"/>
          <w:sz w:val="22"/>
          <w:szCs w:val="22"/>
        </w:rPr>
        <w:t xml:space="preserve">in this Deed called the </w:t>
      </w:r>
      <w:r w:rsidR="000E1E22" w:rsidRPr="00D25082">
        <w:rPr>
          <w:rFonts w:cs="Arial"/>
          <w:sz w:val="22"/>
          <w:szCs w:val="22"/>
        </w:rPr>
        <w:t>“Trustee”)</w:t>
      </w:r>
      <w:r w:rsidR="00BA4FEE"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CE6D6F" w:rsidP="00CE6D6F">
      <w:pPr>
        <w:pStyle w:val="ListParagraph"/>
        <w:numPr>
          <w:ilvl w:val="0"/>
          <w:numId w:val="8"/>
        </w:numPr>
        <w:rPr>
          <w:rFonts w:cs="Arial"/>
          <w:noProof/>
          <w:sz w:val="22"/>
          <w:szCs w:val="22"/>
        </w:rPr>
      </w:pPr>
      <w:r w:rsidRPr="00CE6D6F">
        <w:rPr>
          <w:rFonts w:cs="Arial"/>
          <w:noProof/>
          <w:sz w:val="22"/>
          <w:szCs w:val="22"/>
        </w:rPr>
        <w:t>SMC Limited SSAS (in this Deed called the 'Scheme') is a pension scheme which is now governed by a Trust Deed and Scheme Rules dated 11 October 2007</w:t>
      </w:r>
      <w:r>
        <w:rPr>
          <w:rFonts w:cs="Arial"/>
          <w:noProof/>
          <w:sz w:val="22"/>
          <w:szCs w:val="22"/>
        </w:rPr>
        <w:t xml:space="preserve"> and all subsequent Amendment Deeds</w:t>
      </w:r>
      <w:r w:rsidRPr="00CE6D6F">
        <w:rPr>
          <w:rFonts w:cs="Arial"/>
          <w:noProof/>
          <w:sz w:val="22"/>
          <w:szCs w:val="22"/>
        </w:rPr>
        <w:t xml:space="preserve">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C3590D" w:rsidRPr="00CA6846" w:rsidRDefault="00F070A7" w:rsidP="00CA6846">
      <w:pPr>
        <w:pStyle w:val="ListParagraph"/>
        <w:numPr>
          <w:ilvl w:val="0"/>
          <w:numId w:val="8"/>
        </w:numPr>
        <w:jc w:val="left"/>
        <w:rPr>
          <w:rFonts w:cs="Arial"/>
          <w:noProof/>
          <w:sz w:val="22"/>
          <w:szCs w:val="22"/>
        </w:rPr>
      </w:pPr>
      <w:r>
        <w:rPr>
          <w:rFonts w:cs="Arial"/>
          <w:noProof/>
          <w:sz w:val="22"/>
          <w:szCs w:val="22"/>
        </w:rPr>
        <w:t xml:space="preserve">Pursuant to the clause 3.1 of the Existing Provisions the power to modify, delete or add to all or any of the provisions of the Rules can be exercised by the Trustees. </w:t>
      </w:r>
    </w:p>
    <w:p w:rsidR="00061FC3" w:rsidRPr="00CA6846" w:rsidRDefault="00061FC3" w:rsidP="00061FC3">
      <w:pPr>
        <w:rPr>
          <w:rFonts w:cs="Arial"/>
          <w:b/>
          <w:sz w:val="22"/>
          <w:szCs w:val="22"/>
        </w:rPr>
      </w:pPr>
      <w:r w:rsidRPr="00CA6846">
        <w:rPr>
          <w:rFonts w:cs="Arial"/>
          <w:b/>
          <w:sz w:val="22"/>
          <w:szCs w:val="22"/>
        </w:rPr>
        <w:t>Operative provisions</w:t>
      </w:r>
    </w:p>
    <w:p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F070A7">
        <w:rPr>
          <w:rFonts w:cs="Arial"/>
          <w:noProof/>
          <w:sz w:val="22"/>
          <w:szCs w:val="22"/>
        </w:rPr>
        <w:t>3</w:t>
      </w:r>
      <w:r w:rsidR="00C3590D" w:rsidRPr="002F7480">
        <w:rPr>
          <w:rFonts w:cs="Arial"/>
          <w:noProof/>
          <w:sz w:val="22"/>
          <w:szCs w:val="22"/>
        </w:rPr>
        <w:t>.1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A6846" w:rsidRPr="002F7480">
        <w:rPr>
          <w:rFonts w:cs="Arial"/>
          <w:sz w:val="22"/>
          <w:szCs w:val="22"/>
        </w:rPr>
        <w:t>:</w:t>
      </w:r>
    </w:p>
    <w:p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2F748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1</w:t>
      </w:r>
      <w:r w:rsidR="00CA6846" w:rsidRPr="00CA6846">
        <w:rPr>
          <w:rFonts w:cs="Arial"/>
          <w:noProof/>
          <w:sz w:val="22"/>
          <w:szCs w:val="22"/>
        </w:rPr>
        <w:t xml:space="preserve">.1 the power in Rule 3.1 (Power of Amendment) may be exercised by the </w:t>
      </w:r>
      <w:r w:rsidR="00F070A7">
        <w:rPr>
          <w:rFonts w:cs="Arial"/>
          <w:noProof/>
          <w:sz w:val="22"/>
          <w:szCs w:val="22"/>
        </w:rPr>
        <w:t xml:space="preserve">Principal Employer with the consent of </w:t>
      </w:r>
      <w:r w:rsidR="00F070A7" w:rsidRPr="00F070A7">
        <w:rPr>
          <w:rFonts w:cs="Arial"/>
          <w:noProof/>
          <w:sz w:val="22"/>
          <w:szCs w:val="22"/>
        </w:rPr>
        <w:t>the Trustees</w:t>
      </w:r>
      <w:r w:rsidR="00F070A7">
        <w:rPr>
          <w:rFonts w:cs="Arial"/>
          <w:noProof/>
          <w:sz w:val="22"/>
          <w:szCs w:val="22"/>
        </w:rPr>
        <w:t>.</w:t>
      </w:r>
    </w:p>
    <w:p w:rsidR="00061FC3"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color w:val="050300"/>
          <w:sz w:val="22"/>
          <w:szCs w:val="22"/>
          <w:lang w:eastAsia="en-GB"/>
        </w:rPr>
      </w:pPr>
      <w:r>
        <w:rPr>
          <w:rFonts w:cs="Arial"/>
          <w:noProof/>
          <w:sz w:val="22"/>
          <w:szCs w:val="22"/>
        </w:rPr>
        <w:t>1</w:t>
      </w:r>
      <w:r w:rsidR="00CA6846" w:rsidRPr="00CA6846">
        <w:rPr>
          <w:rFonts w:cs="Arial"/>
          <w:noProof/>
          <w:sz w:val="22"/>
          <w:szCs w:val="22"/>
        </w:rPr>
        <w:t xml:space="preserve">.2 the power in Rule 4.1 (Power of Appointment and Removal of Trustees) may be exercised by </w:t>
      </w:r>
      <w:r w:rsidR="00F070A7">
        <w:rPr>
          <w:rFonts w:cs="Arial"/>
          <w:noProof/>
          <w:sz w:val="22"/>
          <w:szCs w:val="22"/>
        </w:rPr>
        <w:t>the Principal Employer</w:t>
      </w:r>
      <w:r w:rsidR="00F070A7" w:rsidRPr="00F070A7">
        <w:t xml:space="preserve"> </w:t>
      </w:r>
      <w:r w:rsidR="00F070A7">
        <w:rPr>
          <w:rFonts w:cs="Arial"/>
          <w:noProof/>
          <w:sz w:val="22"/>
          <w:szCs w:val="22"/>
        </w:rPr>
        <w:t xml:space="preserve">with the consent of </w:t>
      </w:r>
      <w:r w:rsidR="00F070A7" w:rsidRPr="00F070A7">
        <w:rPr>
          <w:rFonts w:cs="Arial"/>
          <w:noProof/>
          <w:sz w:val="22"/>
          <w:szCs w:val="22"/>
        </w:rPr>
        <w:t>the Trustees</w:t>
      </w:r>
      <w:r w:rsidR="00F070A7">
        <w:rPr>
          <w:rFonts w:cs="Arial"/>
          <w:noProof/>
          <w:sz w:val="22"/>
          <w:szCs w:val="22"/>
        </w:rPr>
        <w:t>.</w:t>
      </w:r>
    </w:p>
    <w:p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bookmarkStart w:id="0" w:name="_GoBack"/>
      <w:bookmarkEnd w:id="0"/>
    </w:p>
    <w:p w:rsidR="00061FC3" w:rsidRPr="002F7480" w:rsidRDefault="00061FC3" w:rsidP="002F7480">
      <w:pPr>
        <w:autoSpaceDE w:val="0"/>
        <w:autoSpaceDN w:val="0"/>
        <w:adjustRightInd w:val="0"/>
        <w:spacing w:after="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by </w:t>
      </w:r>
      <w:r w:rsidR="00CE6D6F" w:rsidRPr="00CE6D6F">
        <w:rPr>
          <w:rFonts w:cs="Arial"/>
          <w:b/>
          <w:noProof/>
          <w:sz w:val="22"/>
          <w:szCs w:val="22"/>
        </w:rPr>
        <w:t>Sheffield Motorcycle Centre Limited</w:t>
      </w:r>
      <w:r w:rsidRPr="00CA6846">
        <w:rPr>
          <w:rFonts w:cs="Arial"/>
          <w:caps/>
          <w:sz w:val="22"/>
          <w:szCs w:val="22"/>
        </w:rPr>
        <w:br/>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w:t>
      </w:r>
      <w:r w:rsidR="00F070A7">
        <w:rPr>
          <w:rFonts w:cs="Arial"/>
          <w:sz w:val="22"/>
          <w:szCs w:val="22"/>
        </w:rPr>
        <w:t>ignature</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F070A7">
        <w:rPr>
          <w:rFonts w:cs="Arial"/>
          <w:sz w:val="22"/>
          <w:szCs w:val="22"/>
        </w:rPr>
        <w:t>Witness</w:t>
      </w:r>
      <w:r w:rsidR="00F070A7">
        <w:rPr>
          <w:rFonts w:cs="Arial"/>
          <w:sz w:val="22"/>
          <w:szCs w:val="22"/>
        </w:rPr>
        <w:tab/>
        <w:t>Signature</w:t>
      </w:r>
      <w:r w:rsidR="0004126A" w:rsidRPr="00CA6846">
        <w:rPr>
          <w:rFonts w:cs="Arial"/>
          <w:sz w:val="22"/>
          <w:szCs w:val="22"/>
        </w:rPr>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BA4FEE">
      <w:pPr>
        <w:keepLines/>
        <w:tabs>
          <w:tab w:val="left" w:pos="1260"/>
          <w:tab w:val="left" w:pos="2160"/>
          <w:tab w:val="left" w:pos="5940"/>
        </w:tabs>
        <w:spacing w:line="300" w:lineRule="auto"/>
        <w:ind w:right="4529"/>
        <w:rPr>
          <w:rFonts w:cs="Arial"/>
          <w:sz w:val="22"/>
          <w:szCs w:val="22"/>
        </w:rPr>
      </w:pPr>
      <w:r w:rsidRPr="00CA6846">
        <w:rPr>
          <w:rFonts w:cs="Arial"/>
          <w:sz w:val="22"/>
          <w:szCs w:val="22"/>
        </w:rPr>
        <w:t>SIGNED as a deed, and delivered when dated, by</w:t>
      </w:r>
      <w:r w:rsidRPr="00CA6846">
        <w:rPr>
          <w:rFonts w:cs="Arial"/>
          <w:sz w:val="22"/>
          <w:szCs w:val="22"/>
        </w:rPr>
        <w:tab/>
        <w:t>……………………..  (Signature)</w:t>
      </w:r>
      <w:r w:rsidRPr="00CA6846">
        <w:rPr>
          <w:rFonts w:cs="Arial"/>
          <w:sz w:val="22"/>
          <w:szCs w:val="22"/>
        </w:rPr>
        <w:br/>
      </w:r>
      <w:r w:rsidR="00CE6D6F" w:rsidRPr="00CE6D6F">
        <w:rPr>
          <w:rFonts w:cs="Arial"/>
          <w:b/>
          <w:noProof/>
          <w:sz w:val="22"/>
          <w:szCs w:val="22"/>
        </w:rPr>
        <w:t xml:space="preserve">Frank Hayes </w:t>
      </w:r>
      <w:r w:rsidRPr="00CA6846">
        <w:rPr>
          <w:rFonts w:cs="Arial"/>
          <w:sz w:val="22"/>
          <w:szCs w:val="22"/>
        </w:rPr>
        <w:t>in the p</w:t>
      </w:r>
      <w:r w:rsidR="00F070A7">
        <w:rPr>
          <w:rFonts w:cs="Arial"/>
          <w:sz w:val="22"/>
          <w:szCs w:val="22"/>
        </w:rPr>
        <w:t>resence of:</w:t>
      </w:r>
      <w:r w:rsidR="00F070A7">
        <w:rPr>
          <w:rFonts w:cs="Arial"/>
          <w:sz w:val="22"/>
          <w:szCs w:val="22"/>
        </w:rPr>
        <w:tab/>
      </w:r>
      <w:r w:rsidR="00F070A7">
        <w:rPr>
          <w:rFonts w:cs="Arial"/>
          <w:sz w:val="22"/>
          <w:szCs w:val="22"/>
        </w:rPr>
        <w:br/>
      </w:r>
      <w:r w:rsidR="00F070A7">
        <w:rPr>
          <w:rFonts w:cs="Arial"/>
          <w:sz w:val="22"/>
          <w:szCs w:val="22"/>
        </w:rPr>
        <w:br/>
        <w:t>Witness</w:t>
      </w:r>
      <w:r w:rsidR="00F070A7">
        <w:rPr>
          <w:rFonts w:cs="Arial"/>
          <w:sz w:val="22"/>
          <w:szCs w:val="22"/>
        </w:rPr>
        <w:tab/>
        <w:t>Signature</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61FC3"/>
    <w:rsid w:val="00025CF9"/>
    <w:rsid w:val="0004126A"/>
    <w:rsid w:val="00061FC3"/>
    <w:rsid w:val="00063DBC"/>
    <w:rsid w:val="00087B11"/>
    <w:rsid w:val="000E1E22"/>
    <w:rsid w:val="001406E1"/>
    <w:rsid w:val="00151C48"/>
    <w:rsid w:val="001833DC"/>
    <w:rsid w:val="001D68BF"/>
    <w:rsid w:val="00201A32"/>
    <w:rsid w:val="002104D7"/>
    <w:rsid w:val="002F7480"/>
    <w:rsid w:val="00395BB6"/>
    <w:rsid w:val="003B5F27"/>
    <w:rsid w:val="003C2E22"/>
    <w:rsid w:val="00473518"/>
    <w:rsid w:val="004C41D8"/>
    <w:rsid w:val="0052133C"/>
    <w:rsid w:val="00571885"/>
    <w:rsid w:val="00594B2A"/>
    <w:rsid w:val="005D02BE"/>
    <w:rsid w:val="00607996"/>
    <w:rsid w:val="006578D4"/>
    <w:rsid w:val="00784D37"/>
    <w:rsid w:val="00855944"/>
    <w:rsid w:val="00865BC2"/>
    <w:rsid w:val="008743FD"/>
    <w:rsid w:val="0090618C"/>
    <w:rsid w:val="009A65AD"/>
    <w:rsid w:val="00A06627"/>
    <w:rsid w:val="00A31ECF"/>
    <w:rsid w:val="00BA4FEE"/>
    <w:rsid w:val="00C3590D"/>
    <w:rsid w:val="00C61847"/>
    <w:rsid w:val="00CA6846"/>
    <w:rsid w:val="00CB7E4D"/>
    <w:rsid w:val="00CC70FF"/>
    <w:rsid w:val="00CD25CE"/>
    <w:rsid w:val="00CE6D6F"/>
    <w:rsid w:val="00D25082"/>
    <w:rsid w:val="00D85AAD"/>
    <w:rsid w:val="00DC4E24"/>
    <w:rsid w:val="00E35068"/>
    <w:rsid w:val="00EC7C98"/>
    <w:rsid w:val="00F070A7"/>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44918-D50D-4ED9-A127-40FCBC10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4</cp:revision>
  <cp:lastPrinted>2013-05-02T10:59:00Z</cp:lastPrinted>
  <dcterms:created xsi:type="dcterms:W3CDTF">2015-11-18T10:55:00Z</dcterms:created>
  <dcterms:modified xsi:type="dcterms:W3CDTF">2016-03-29T08:29:00Z</dcterms:modified>
</cp:coreProperties>
</file>