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>
        <w:rPr>
          <w:rFonts w:ascii="Helvetica" w:hAnsi="Helvetica" w:cs="Helvetica"/>
          <w:b/>
        </w:rPr>
        <w:t>Sally Morton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>
        <w:rPr>
          <w:rFonts w:ascii="Helvetica" w:hAnsi="Helvetica" w:cs="Helvetica"/>
        </w:rPr>
        <w:t xml:space="preserve">60,000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542A9E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bCs w:val="0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  <w:bookmarkStart w:id="0" w:name="_GoBack"/>
      <w:bookmarkEnd w:id="0"/>
      <w:r w:rsidRPr="00606227">
        <w:rPr>
          <w:rStyle w:val="apple-style-span"/>
          <w:rFonts w:ascii="Helvetica" w:hAnsi="Helvetica" w:cs="Helvetica"/>
          <w:color w:val="000000"/>
        </w:rPr>
        <w:t xml:space="preserve">tax-free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>
        <w:rPr>
          <w:rStyle w:val="Strong"/>
          <w:rFonts w:ascii="Helvetica" w:hAnsi="Helvetica" w:cs="Helvetica"/>
          <w:b w:val="0"/>
          <w:color w:val="000000"/>
        </w:rPr>
        <w:t>34,226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>
        <w:rPr>
          <w:rStyle w:val="Strong"/>
          <w:rFonts w:ascii="Helvetica" w:hAnsi="Helvetica" w:cs="Helvetica"/>
          <w:b w:val="0"/>
          <w:color w:val="000000"/>
        </w:rPr>
        <w:t xml:space="preserve">5,295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>
        <w:rPr>
          <w:rStyle w:val="Strong"/>
          <w:rFonts w:ascii="Helvetica" w:hAnsi="Helvetica" w:cs="Helvetica"/>
          <w:b w:val="0"/>
          <w:color w:val="000000"/>
        </w:rPr>
        <w:t>136,902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In accordance with Statutory Money Purchase Illustration requirements, it has been assumed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25047" w:rsidRDefault="00614B0A">
      <w:r>
        <w:t>Date: 07/05/2014</w:t>
      </w:r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A"/>
    <w:rsid w:val="00325047"/>
    <w:rsid w:val="00542A9E"/>
    <w:rsid w:val="00614B0A"/>
    <w:rsid w:val="006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793D-CE1D-4A40-B334-08376F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2</cp:revision>
  <cp:lastPrinted>2014-05-08T09:44:00Z</cp:lastPrinted>
  <dcterms:created xsi:type="dcterms:W3CDTF">2014-05-08T09:44:00Z</dcterms:created>
  <dcterms:modified xsi:type="dcterms:W3CDTF">2014-05-08T09:44:00Z</dcterms:modified>
</cp:coreProperties>
</file>