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rFonts w:ascii="Arial" w:cs="Arial" w:eastAsia="Arial" w:hAnsi="Arial"/>
          <w:b w:val="1"/>
          <w:color w:val="000000"/>
          <w:sz w:val="22"/>
          <w:szCs w:val="22"/>
          <w:rtl w:val="0"/>
        </w:rPr>
        <w:t xml:space="preserve">Deed of Removal and Appointment of Trustee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firstLine="0"/>
        <w:jc w:val="center"/>
        <w:rPr>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rFonts w:ascii="Arial" w:cs="Arial" w:eastAsia="Arial" w:hAnsi="Arial"/>
          <w:b w:val="1"/>
          <w:color w:val="222222"/>
          <w:sz w:val="22"/>
          <w:szCs w:val="22"/>
          <w:highlight w:val="white"/>
          <w:rtl w:val="0"/>
        </w:rPr>
        <w:t xml:space="preserve">SBR Solutions Executive Pension Scheme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8" w:line="240" w:lineRule="auto"/>
        <w:ind w:left="0" w:hanging="2"/>
        <w:rPr>
          <w:color w:val="000000"/>
          <w:sz w:val="17"/>
          <w:szCs w:val="17"/>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6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2"/>
          <w:szCs w:val="22"/>
          <w:rtl w:val="0"/>
        </w:rPr>
        <w:t xml:space="preserve">Date of Deed : </w:t>
      </w:r>
      <w:r w:rsidDel="00000000" w:rsidR="00000000" w:rsidRPr="00000000">
        <w:rPr>
          <w:rFonts w:ascii="Arial" w:cs="Arial" w:eastAsia="Arial" w:hAnsi="Arial"/>
          <w:sz w:val="22"/>
          <w:szCs w:val="22"/>
          <w:rtl w:val="0"/>
        </w:rPr>
        <w:br w:type="textWrapp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6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pStyle w:val="Heading1"/>
        <w:ind w:left="0" w:hanging="2"/>
        <w:rPr>
          <w:b w:val="0"/>
        </w:rPr>
      </w:pPr>
      <w:r w:rsidDel="00000000" w:rsidR="00000000" w:rsidRPr="00000000">
        <w:rPr>
          <w:rtl w:val="0"/>
        </w:rPr>
        <w:t xml:space="preserve">Parties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tabs>
          <w:tab w:val="left" w:pos="820"/>
        </w:tabs>
        <w:spacing w:line="240" w:lineRule="auto"/>
        <w:ind w:left="820" w:right="403"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SBR Solutions </w:t>
      </w:r>
      <w:r w:rsidDel="00000000" w:rsidR="00000000" w:rsidRPr="00000000">
        <w:rPr>
          <w:rFonts w:ascii="Arial" w:cs="Arial" w:eastAsia="Arial" w:hAnsi="Arial"/>
          <w:sz w:val="22"/>
          <w:szCs w:val="22"/>
          <w:rtl w:val="0"/>
        </w:rPr>
        <w:t xml:space="preserve">Ltd</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a0c0c"/>
          <w:sz w:val="22"/>
          <w:szCs w:val="22"/>
          <w:rtl w:val="0"/>
        </w:rPr>
        <w:t xml:space="preserve">08357042</w:t>
      </w:r>
      <w:r w:rsidDel="00000000" w:rsidR="00000000" w:rsidRPr="00000000">
        <w:rPr>
          <w:rFonts w:ascii="Arial" w:cs="Arial" w:eastAsia="Arial" w:hAnsi="Arial"/>
          <w:color w:val="000000"/>
          <w:sz w:val="22"/>
          <w:szCs w:val="22"/>
          <w:rtl w:val="0"/>
        </w:rPr>
        <w:t xml:space="preserve">) whose registered office is situated at </w:t>
      </w:r>
      <w:r w:rsidDel="00000000" w:rsidR="00000000" w:rsidRPr="00000000">
        <w:rPr>
          <w:rFonts w:ascii="Arial" w:cs="Arial" w:eastAsia="Arial" w:hAnsi="Arial"/>
          <w:color w:val="0a0c0c"/>
          <w:sz w:val="22"/>
          <w:szCs w:val="22"/>
          <w:rtl w:val="0"/>
        </w:rPr>
        <w:t xml:space="preserve">18 Lime Tree Way, Porthcawl, Pen-Y-Bont Ar Ogwr, CF36 5AU </w:t>
      </w:r>
      <w:r w:rsidDel="00000000" w:rsidR="00000000" w:rsidRPr="00000000">
        <w:rPr>
          <w:rFonts w:ascii="Arial" w:cs="Arial" w:eastAsia="Arial" w:hAnsi="Arial"/>
          <w:color w:val="000000"/>
          <w:sz w:val="22"/>
          <w:szCs w:val="22"/>
          <w:rtl w:val="0"/>
        </w:rPr>
        <w:t xml:space="preserve">(in this Deed called the ‘Principal Employer’);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tabs>
          <w:tab w:val="left" w:pos="820"/>
        </w:tabs>
        <w:spacing w:line="240" w:lineRule="auto"/>
        <w:ind w:left="820" w:right="441"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Michael Edwards of 18 Lime Tree Way, Porthcawl, Pen-Y-Bont Ar Ogwr, CF36 5AU (in this Deed called the ‘General Trustee’); and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9"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left" w:pos="820"/>
        </w:tabs>
        <w:spacing w:line="240" w:lineRule="auto"/>
        <w:ind w:left="820" w:right="237"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Rowanmoor Trustees Limited (Company No: 01846413) whose registered office is situated at Rowanmoor House, 46-50 Castle Street, Salisbury SP1 3TS (in this Deed called the ‘Outgoing Independent Trustee’); and</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0"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pos="820"/>
        </w:tabs>
        <w:spacing w:line="240" w:lineRule="auto"/>
        <w:ind w:left="820" w:right="151"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Rowanmoor Executive Pensions Limited (Company No: </w:t>
      </w:r>
      <w:r w:rsidDel="00000000" w:rsidR="00000000" w:rsidRPr="00000000">
        <w:rPr>
          <w:rFonts w:ascii="Arial" w:cs="Arial" w:eastAsia="Arial" w:hAnsi="Arial"/>
          <w:sz w:val="22"/>
          <w:szCs w:val="22"/>
          <w:rtl w:val="0"/>
        </w:rPr>
        <w:t xml:space="preserve">05792242</w:t>
      </w:r>
      <w:r w:rsidDel="00000000" w:rsidR="00000000" w:rsidRPr="00000000">
        <w:rPr>
          <w:rFonts w:ascii="Arial" w:cs="Arial" w:eastAsia="Arial" w:hAnsi="Arial"/>
          <w:color w:val="000000"/>
          <w:sz w:val="22"/>
          <w:szCs w:val="22"/>
          <w:rtl w:val="0"/>
        </w:rPr>
        <w:t xml:space="preserve">) whose registered office is situate at Rowanmoor House, 46-50 Castle Street, Salisbury, SP1 3TS (in </w:t>
      </w:r>
      <w:r w:rsidDel="00000000" w:rsidR="00000000" w:rsidRPr="00000000">
        <w:rPr>
          <w:rFonts w:ascii="Arial" w:cs="Arial" w:eastAsia="Arial" w:hAnsi="Arial"/>
          <w:sz w:val="22"/>
          <w:szCs w:val="22"/>
          <w:rtl w:val="0"/>
        </w:rPr>
        <w:t xml:space="preserve">this Deed called the ‘Outgoing Administrator’); and</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tabs>
          <w:tab w:val="left" w:pos="820"/>
        </w:tabs>
        <w:spacing w:line="240" w:lineRule="auto"/>
        <w:ind w:left="820" w:right="211"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RC Trustees Limited  (Company No: </w:t>
      </w:r>
      <w:r w:rsidDel="00000000" w:rsidR="00000000" w:rsidRPr="00000000">
        <w:rPr>
          <w:rFonts w:ascii="Arial" w:cs="Arial" w:eastAsia="Arial" w:hAnsi="Arial"/>
          <w:sz w:val="22"/>
          <w:szCs w:val="22"/>
          <w:highlight w:val="white"/>
          <w:rtl w:val="0"/>
        </w:rPr>
        <w:t xml:space="preserve">13042237</w:t>
      </w:r>
      <w:r w:rsidDel="00000000" w:rsidR="00000000" w:rsidRPr="00000000">
        <w:rPr>
          <w:rFonts w:ascii="Arial" w:cs="Arial" w:eastAsia="Arial" w:hAnsi="Arial"/>
          <w:sz w:val="22"/>
          <w:szCs w:val="22"/>
          <w:rtl w:val="0"/>
        </w:rPr>
        <w:t xml:space="preserve">) whose registered office is situate at </w:t>
      </w:r>
      <w:r w:rsidDel="00000000" w:rsidR="00000000" w:rsidRPr="00000000">
        <w:rPr>
          <w:rFonts w:ascii="Arial" w:cs="Arial" w:eastAsia="Arial" w:hAnsi="Arial"/>
          <w:sz w:val="22"/>
          <w:szCs w:val="22"/>
          <w:highlight w:val="white"/>
          <w:rtl w:val="0"/>
        </w:rPr>
        <w:t xml:space="preserve">1a Park Lane, Poynton, Stockport, Cheshire, United Kingdom, SK12 1RD</w:t>
      </w:r>
      <w:r w:rsidDel="00000000" w:rsidR="00000000" w:rsidRPr="00000000">
        <w:rPr>
          <w:rFonts w:ascii="Arial" w:cs="Arial" w:eastAsia="Arial" w:hAnsi="Arial"/>
          <w:sz w:val="22"/>
          <w:szCs w:val="22"/>
          <w:rtl w:val="0"/>
        </w:rPr>
        <w:t xml:space="preserve"> (in this Deed called the ‘New Independent Trustee’); and</w:t>
        <w:br w:type="textWrapping"/>
      </w:r>
    </w:p>
    <w:p w:rsidR="00000000" w:rsidDel="00000000" w:rsidP="00000000" w:rsidRDefault="00000000" w:rsidRPr="00000000" w14:paraId="00000044">
      <w:pPr>
        <w:numPr>
          <w:ilvl w:val="0"/>
          <w:numId w:val="2"/>
        </w:numPr>
        <w:tabs>
          <w:tab w:val="left" w:pos="820"/>
        </w:tabs>
        <w:ind w:left="820" w:right="211"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RC Administration Limited (Company No: </w:t>
      </w:r>
      <w:r w:rsidDel="00000000" w:rsidR="00000000" w:rsidRPr="00000000">
        <w:rPr>
          <w:rFonts w:ascii="Arial" w:cs="Arial" w:eastAsia="Arial" w:hAnsi="Arial"/>
          <w:sz w:val="22"/>
          <w:szCs w:val="22"/>
          <w:highlight w:val="white"/>
          <w:rtl w:val="0"/>
        </w:rPr>
        <w:t xml:space="preserve">12409200</w:t>
      </w:r>
      <w:r w:rsidDel="00000000" w:rsidR="00000000" w:rsidRPr="00000000">
        <w:rPr>
          <w:rFonts w:ascii="Arial" w:cs="Arial" w:eastAsia="Arial" w:hAnsi="Arial"/>
          <w:sz w:val="22"/>
          <w:szCs w:val="22"/>
          <w:rtl w:val="0"/>
        </w:rPr>
        <w:t xml:space="preserve">) whose registered office is situate at </w:t>
      </w:r>
      <w:r w:rsidDel="00000000" w:rsidR="00000000" w:rsidRPr="00000000">
        <w:rPr>
          <w:rFonts w:ascii="Arial" w:cs="Arial" w:eastAsia="Arial" w:hAnsi="Arial"/>
          <w:sz w:val="22"/>
          <w:szCs w:val="22"/>
          <w:highlight w:val="white"/>
          <w:rtl w:val="0"/>
        </w:rPr>
        <w:t xml:space="preserve">1a Park Lane, Poynton, Stockport, Cheshire, United Kingdom, SK12 1RD</w:t>
      </w:r>
      <w:r w:rsidDel="00000000" w:rsidR="00000000" w:rsidRPr="00000000">
        <w:rPr>
          <w:rFonts w:ascii="Arial" w:cs="Arial" w:eastAsia="Arial" w:hAnsi="Arial"/>
          <w:sz w:val="22"/>
          <w:szCs w:val="22"/>
          <w:rtl w:val="0"/>
        </w:rPr>
        <w:t xml:space="preserve"> (in this Deed called the ‘New Scheme Administrator’)</w:t>
      </w:r>
      <w:r w:rsidDel="00000000" w:rsidR="00000000" w:rsidRPr="00000000">
        <w:rPr>
          <w:rtl w:val="0"/>
        </w:rPr>
      </w:r>
    </w:p>
    <w:p w:rsidR="00000000" w:rsidDel="00000000" w:rsidP="00000000" w:rsidRDefault="00000000" w:rsidRPr="00000000" w14:paraId="00000045">
      <w:pPr>
        <w:pStyle w:val="Heading1"/>
        <w:ind w:left="0" w:hanging="2"/>
        <w:rPr>
          <w:b w:val="0"/>
        </w:rPr>
      </w:pPr>
      <w:r w:rsidDel="00000000" w:rsidR="00000000" w:rsidRPr="00000000">
        <w:rPr>
          <w:rtl w:val="0"/>
        </w:rPr>
        <w:t xml:space="preserve">Recitals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pos="820"/>
        </w:tabs>
        <w:spacing w:line="240" w:lineRule="auto"/>
        <w:ind w:left="820" w:right="11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SBR Solutions Executive Pension Scheme (in this Deed called the 'Scheme') is a pension scheme which is established and governed by an Interim Trust Deed and Rules dated 27 January 2014, and all subsequent amending deeds and documentation (in this Deed called the 'Existing Provisions').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1006"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General Trustee and the Outgoing Independent Trustee are the present trustees of the Scheme (in this Deed called the ‘Trustees’).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494"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Outgoing Scheme Administrator is the present registered administrator to the Scheme.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395"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Clause 5.3 of the Existing Provisions, vests the power of appointment and removal of trustees in the Principal Employer with the consent of the Outgoing Scheme Administrator.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323"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Clause 3.3 of the Existing Provisions, vests the power of appointment and removal of the Scheme’s registered administrator in the Principal Employer with the consent of the Outgoing Scheme Administrator.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579"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Principal Employer, with the consent of the Outgoing Scheme Administrator, are desirous to appoint the New Independent Trustee to the position of Independent Trustee and registered administrator to the Scheme to act together with the General Trustee </w:t>
      </w:r>
      <w:r w:rsidDel="00000000" w:rsidR="00000000" w:rsidRPr="00000000">
        <w:rPr>
          <w:rFonts w:ascii="Arial" w:cs="Arial" w:eastAsia="Arial" w:hAnsi="Arial"/>
          <w:sz w:val="22"/>
          <w:szCs w:val="22"/>
          <w:rtl w:val="0"/>
        </w:rPr>
        <w:t xml:space="preserve">from the Effective Date</w:t>
      </w:r>
      <w:r w:rsidDel="00000000" w:rsidR="00000000" w:rsidRPr="00000000">
        <w:rPr>
          <w:rFonts w:ascii="Arial" w:cs="Arial" w:eastAsia="Arial" w:hAnsi="Arial"/>
          <w:color w:val="000000"/>
          <w:sz w:val="22"/>
          <w:szCs w:val="2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bookmarkStart w:colFirst="0" w:colLast="0" w:name="_heading=h.gjdgxs" w:id="0"/>
      <w:bookmarkEnd w:id="0"/>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481"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Principal Employer,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w:t>
        <w:br w:type="textWrapping"/>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left" w:pos="820"/>
        </w:tabs>
        <w:spacing w:line="252.00000000000003" w:lineRule="auto"/>
        <w:ind w:left="820" w:right="481" w:hanging="720"/>
        <w:rPr>
          <w:rFonts w:ascii="Arial" w:cs="Arial" w:eastAsia="Arial" w:hAnsi="Arial"/>
          <w:sz w:val="22"/>
          <w:szCs w:val="22"/>
          <w:u w:val="none"/>
        </w:rPr>
        <w:sectPr>
          <w:pgSz w:h="16820" w:w="11900" w:orient="portrait"/>
          <w:pgMar w:bottom="280" w:top="1380" w:left="1340" w:right="1320" w:header="720" w:footer="720"/>
          <w:pgNumType w:start="1"/>
        </w:sectPr>
      </w:pPr>
      <w:r w:rsidDel="00000000" w:rsidR="00000000" w:rsidRPr="00000000">
        <w:rPr>
          <w:rFonts w:ascii="Arial" w:cs="Arial" w:eastAsia="Arial" w:hAnsi="Arial"/>
          <w:sz w:val="22"/>
          <w:szCs w:val="22"/>
          <w:rtl w:val="0"/>
        </w:rPr>
        <w:t xml:space="preserve">The Effective Date is the Date of this Deed.</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57"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3" w:line="240" w:lineRule="auto"/>
        <w:ind w:left="1" w:hanging="3"/>
        <w:rPr>
          <w:rFonts w:ascii="Arial" w:cs="Arial" w:eastAsia="Arial" w:hAnsi="Arial"/>
          <w:color w:val="000000"/>
          <w:sz w:val="32"/>
          <w:szCs w:val="32"/>
        </w:rPr>
      </w:pPr>
      <w:r w:rsidDel="00000000" w:rsidR="00000000" w:rsidRPr="00000000">
        <w:rPr>
          <w:rFonts w:ascii="Arial" w:cs="Arial" w:eastAsia="Arial" w:hAnsi="Arial"/>
          <w:b w:val="1"/>
          <w:sz w:val="22"/>
          <w:szCs w:val="22"/>
          <w:rtl w:val="0"/>
        </w:rPr>
        <w:t xml:space="preserve">Operative Provisions</w:t>
      </w:r>
      <w:r w:rsidDel="00000000" w:rsidR="00000000" w:rsidRPr="00000000">
        <w:rPr>
          <w:rFonts w:ascii="Arial" w:cs="Arial" w:eastAsia="Arial" w:hAnsi="Arial"/>
          <w:sz w:val="32"/>
          <w:szCs w:val="32"/>
          <w:rtl w:val="0"/>
        </w:rPr>
        <w:br w:type="textWrapping"/>
        <w:br w:type="textWrapping"/>
      </w:r>
      <w:r w:rsidDel="00000000" w:rsidR="00000000" w:rsidRPr="00000000">
        <w:rPr>
          <w:rFonts w:ascii="Arial" w:cs="Arial" w:eastAsia="Arial" w:hAnsi="Arial"/>
          <w:sz w:val="22"/>
          <w:szCs w:val="22"/>
          <w:rtl w:val="0"/>
        </w:rPr>
        <w:t xml:space="preserve">NOW THIS DEED WITNESSETH THAT</w:t>
        <w:br w:type="textWrapping"/>
      </w: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tabs>
          <w:tab w:val="left" w:pos="820"/>
        </w:tabs>
        <w:spacing w:line="252.00000000000003" w:lineRule="auto"/>
        <w:ind w:left="0" w:right="51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Principal Employer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tabs>
          <w:tab w:val="left" w:pos="820"/>
        </w:tabs>
        <w:spacing w:line="252.00000000000003" w:lineRule="auto"/>
        <w:ind w:left="0" w:right="461"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Principal Employer in exercise of the power invested in them by the Existing Provisions and with the consent of the Outgoing Scheme Administrator, hereby appoint the New Independent Trustee to the position of Independent Trustee of the Scheme with effect from the Effective Date.</w:t>
        <w:br w:type="textWrapping"/>
      </w:r>
    </w:p>
    <w:p w:rsidR="00000000" w:rsidDel="00000000" w:rsidP="00000000" w:rsidRDefault="00000000" w:rsidRPr="00000000" w14:paraId="0000005E">
      <w:pPr>
        <w:numPr>
          <w:ilvl w:val="1"/>
          <w:numId w:val="1"/>
        </w:numPr>
        <w:tabs>
          <w:tab w:val="left" w:pos="820"/>
        </w:tabs>
        <w:spacing w:line="252.00000000000003" w:lineRule="auto"/>
        <w:ind w:left="0" w:right="461" w:hanging="2"/>
        <w:rPr/>
      </w:pPr>
      <w:r w:rsidDel="00000000" w:rsidR="00000000" w:rsidRPr="00000000">
        <w:rPr>
          <w:rFonts w:ascii="Arial" w:cs="Arial" w:eastAsia="Arial" w:hAnsi="Arial"/>
          <w:sz w:val="22"/>
          <w:szCs w:val="22"/>
          <w:rtl w:val="0"/>
        </w:rPr>
        <w:t xml:space="preserve">The Principal Employer in exercise of the power invested in them by the Existing Provisions and with the consent of the Outgoing Scheme Administrator, hereby appoint the New Scheme Administrator to the position of Scheme Administrator of the Scheme with effect from the Effective Date.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tabs>
          <w:tab w:val="left" w:pos="820"/>
        </w:tabs>
        <w:spacing w:line="252.00000000000003" w:lineRule="auto"/>
        <w:ind w:left="0" w:right="633"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New Independent Trustee and the General Trustee hereby covenant to act together for all of the purposes of the Scheme.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tabs>
          <w:tab w:val="left" w:pos="820"/>
        </w:tabs>
        <w:spacing w:line="252.00000000000003" w:lineRule="auto"/>
        <w:ind w:left="0" w:right="486"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240" w:lineRule="auto"/>
        <w:ind w:left="0" w:hanging="2"/>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tabs>
          <w:tab w:val="left" w:pos="820"/>
        </w:tabs>
        <w:spacing w:line="252.00000000000003" w:lineRule="auto"/>
        <w:ind w:left="0" w:right="1258"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Outgoing Scheme Administrator is discharged fully of its liabilities as registered administrator to the Scheme under the Finance Act 2004 </w:t>
      </w:r>
      <w:r w:rsidDel="00000000" w:rsidR="00000000" w:rsidRPr="00000000">
        <w:rPr>
          <w:rFonts w:ascii="Arial" w:cs="Arial" w:eastAsia="Arial" w:hAnsi="Arial"/>
          <w:sz w:val="22"/>
          <w:szCs w:val="22"/>
          <w:rtl w:val="0"/>
        </w:rPr>
        <w:t xml:space="preserve">with effect from the Effective Date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74" w:line="480" w:lineRule="auto"/>
        <w:ind w:left="0" w:hanging="2"/>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common seal of Rowanmoor Trustees Limited was here unto affixed in the presence of: Authorised Signatory:</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74" w:line="48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5"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72"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common seal of Rowanmoor Executive Pensions Limited was here unto affixed in the presence of:</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Authorised Signatory:</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9"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Authorised Signatory:</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7"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spacing w:before="174" w:line="48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common seal of RC Trustees Limited was here unto affixed in the presence of: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acting by</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Authorised Signatory:</w:t>
      </w:r>
    </w:p>
    <w:p w:rsidR="00000000" w:rsidDel="00000000" w:rsidP="00000000" w:rsidRDefault="00000000" w:rsidRPr="00000000" w14:paraId="0000008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539"/>
        </w:tabs>
        <w:spacing w:line="240"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1539"/>
        </w:tabs>
        <w:spacing w:line="240"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1539"/>
        </w:tabs>
        <w:spacing w:line="240"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before="174" w:line="480"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common seal of RC Administration Limited was here unto affixed in the presence of: </w:t>
      </w:r>
    </w:p>
    <w:p w:rsidR="00000000" w:rsidDel="00000000" w:rsidP="00000000" w:rsidRDefault="00000000" w:rsidRPr="00000000" w14:paraId="00000094">
      <w:pPr>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acting by</w:t>
      </w:r>
    </w:p>
    <w:p w:rsidR="00000000" w:rsidDel="00000000" w:rsidP="00000000" w:rsidRDefault="00000000" w:rsidRPr="00000000" w14:paraId="00000095">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Authorised Signatory:</w:t>
      </w:r>
    </w:p>
    <w:p w:rsidR="00000000" w:rsidDel="00000000" w:rsidP="00000000" w:rsidRDefault="00000000" w:rsidRPr="00000000" w14:paraId="00000098">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tabs>
          <w:tab w:val="left" w:pos="820"/>
        </w:tabs>
        <w:ind w:left="0" w:right="21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tabs>
          <w:tab w:val="left" w:pos="820"/>
        </w:tabs>
        <w:ind w:left="0" w:right="211" w:firstLine="0"/>
        <w:rPr>
          <w:rFonts w:ascii="Arial" w:cs="Arial" w:eastAsia="Arial" w:hAnsi="Arial"/>
          <w:sz w:val="22"/>
          <w:szCs w:val="22"/>
        </w:rPr>
      </w:pPr>
      <w:r w:rsidDel="00000000" w:rsidR="00000000" w:rsidRPr="00000000">
        <w:rPr>
          <w:rtl w:val="0"/>
        </w:rPr>
      </w:r>
    </w:p>
    <w:sectPr>
      <w:headerReference r:id="rId7" w:type="default"/>
      <w:type w:val="nextPage"/>
      <w:pgSz w:h="16820" w:w="11900" w:orient="portrait"/>
      <w:pgMar w:bottom="280" w:top="2180" w:left="1340" w:right="1400" w:header="1468" w:footer="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spacing w:line="14.39999999999999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720"/>
      </w:pPr>
      <w:rPr>
        <w:rFonts w:ascii="Arial" w:cs="Arial" w:eastAsia="Arial" w:hAnsi="Arial"/>
        <w:b w:val="0"/>
        <w:sz w:val="22"/>
        <w:szCs w:val="22"/>
        <w:vertAlign w:val="baseline"/>
      </w:rPr>
    </w:lvl>
    <w:lvl w:ilvl="1">
      <w:start w:val="1"/>
      <w:numFmt w:val="decimal"/>
      <w:lvlText w:val="%2."/>
      <w:lvlJc w:val="left"/>
      <w:pPr>
        <w:ind w:left="820" w:hanging="360"/>
      </w:pPr>
      <w:rPr>
        <w:rFonts w:ascii="Arial" w:cs="Arial" w:eastAsia="Arial" w:hAnsi="Arial"/>
        <w:b w:val="0"/>
        <w:sz w:val="22"/>
        <w:szCs w:val="22"/>
        <w:vertAlign w:val="baseline"/>
      </w:rPr>
    </w:lvl>
    <w:lvl w:ilvl="2">
      <w:start w:val="1"/>
      <w:numFmt w:val="bullet"/>
      <w:lvlText w:val="•"/>
      <w:lvlJc w:val="left"/>
      <w:pPr>
        <w:ind w:left="2488" w:hanging="360"/>
      </w:pPr>
      <w:rPr>
        <w:vertAlign w:val="baseline"/>
      </w:rPr>
    </w:lvl>
    <w:lvl w:ilvl="3">
      <w:start w:val="1"/>
      <w:numFmt w:val="bullet"/>
      <w:lvlText w:val="•"/>
      <w:lvlJc w:val="left"/>
      <w:pPr>
        <w:ind w:left="3322" w:hanging="360"/>
      </w:pPr>
      <w:rPr>
        <w:vertAlign w:val="baseline"/>
      </w:rPr>
    </w:lvl>
    <w:lvl w:ilvl="4">
      <w:start w:val="1"/>
      <w:numFmt w:val="bullet"/>
      <w:lvlText w:val="•"/>
      <w:lvlJc w:val="left"/>
      <w:pPr>
        <w:ind w:left="4156" w:hanging="360"/>
      </w:pPr>
      <w:rPr>
        <w:vertAlign w:val="baseline"/>
      </w:rPr>
    </w:lvl>
    <w:lvl w:ilvl="5">
      <w:start w:val="1"/>
      <w:numFmt w:val="bullet"/>
      <w:lvlText w:val="•"/>
      <w:lvlJc w:val="left"/>
      <w:pPr>
        <w:ind w:left="4990" w:hanging="360"/>
      </w:pPr>
      <w:rPr>
        <w:vertAlign w:val="baseline"/>
      </w:rPr>
    </w:lvl>
    <w:lvl w:ilvl="6">
      <w:start w:val="1"/>
      <w:numFmt w:val="bullet"/>
      <w:lvlText w:val="•"/>
      <w:lvlJc w:val="left"/>
      <w:pPr>
        <w:ind w:left="5824" w:hanging="360"/>
      </w:pPr>
      <w:rPr>
        <w:vertAlign w:val="baseline"/>
      </w:rPr>
    </w:lvl>
    <w:lvl w:ilvl="7">
      <w:start w:val="1"/>
      <w:numFmt w:val="bullet"/>
      <w:lvlText w:val="•"/>
      <w:lvlJc w:val="left"/>
      <w:pPr>
        <w:ind w:left="6658" w:hanging="360"/>
      </w:pPr>
      <w:rPr>
        <w:vertAlign w:val="baseline"/>
      </w:rPr>
    </w:lvl>
    <w:lvl w:ilvl="8">
      <w:start w:val="1"/>
      <w:numFmt w:val="bullet"/>
      <w:lvlText w:val="•"/>
      <w:lvlJc w:val="left"/>
      <w:pPr>
        <w:ind w:left="7492" w:hanging="360"/>
      </w:pPr>
      <w:rPr>
        <w:vertAlign w:val="baseline"/>
      </w:rPr>
    </w:lvl>
  </w:abstractNum>
  <w:abstractNum w:abstractNumId="2">
    <w:lvl w:ilvl="0">
      <w:start w:val="1"/>
      <w:numFmt w:val="decimal"/>
      <w:lvlText w:val="%1."/>
      <w:lvlJc w:val="left"/>
      <w:pPr>
        <w:ind w:left="820" w:hanging="720"/>
      </w:pPr>
      <w:rPr>
        <w:rFonts w:ascii="Arial" w:cs="Arial" w:eastAsia="Arial" w:hAnsi="Arial"/>
        <w:b w:val="0"/>
        <w:sz w:val="22"/>
        <w:szCs w:val="22"/>
        <w:vertAlign w:val="baseline"/>
      </w:rPr>
    </w:lvl>
    <w:lvl w:ilvl="1">
      <w:start w:val="1"/>
      <w:numFmt w:val="bullet"/>
      <w:lvlText w:val="•"/>
      <w:lvlJc w:val="left"/>
      <w:pPr>
        <w:ind w:left="1662" w:hanging="720.0000000000001"/>
      </w:pPr>
      <w:rPr>
        <w:vertAlign w:val="baseline"/>
      </w:rPr>
    </w:lvl>
    <w:lvl w:ilvl="2">
      <w:start w:val="1"/>
      <w:numFmt w:val="bullet"/>
      <w:lvlText w:val="•"/>
      <w:lvlJc w:val="left"/>
      <w:pPr>
        <w:ind w:left="2504" w:hanging="720"/>
      </w:pPr>
      <w:rPr>
        <w:vertAlign w:val="baseline"/>
      </w:rPr>
    </w:lvl>
    <w:lvl w:ilvl="3">
      <w:start w:val="1"/>
      <w:numFmt w:val="bullet"/>
      <w:lvlText w:val="•"/>
      <w:lvlJc w:val="left"/>
      <w:pPr>
        <w:ind w:left="3346" w:hanging="720"/>
      </w:pPr>
      <w:rPr>
        <w:vertAlign w:val="baseline"/>
      </w:rPr>
    </w:lvl>
    <w:lvl w:ilvl="4">
      <w:start w:val="1"/>
      <w:numFmt w:val="bullet"/>
      <w:lvlText w:val="•"/>
      <w:lvlJc w:val="left"/>
      <w:pPr>
        <w:ind w:left="4188" w:hanging="720"/>
      </w:pPr>
      <w:rPr>
        <w:vertAlign w:val="baseline"/>
      </w:rPr>
    </w:lvl>
    <w:lvl w:ilvl="5">
      <w:start w:val="1"/>
      <w:numFmt w:val="bullet"/>
      <w:lvlText w:val="•"/>
      <w:lvlJc w:val="left"/>
      <w:pPr>
        <w:ind w:left="5030" w:hanging="720"/>
      </w:pPr>
      <w:rPr>
        <w:vertAlign w:val="baseline"/>
      </w:rPr>
    </w:lvl>
    <w:lvl w:ilvl="6">
      <w:start w:val="1"/>
      <w:numFmt w:val="bullet"/>
      <w:lvlText w:val="•"/>
      <w:lvlJc w:val="left"/>
      <w:pPr>
        <w:ind w:left="5872" w:hanging="720"/>
      </w:pPr>
      <w:rPr>
        <w:vertAlign w:val="baseline"/>
      </w:rPr>
    </w:lvl>
    <w:lvl w:ilvl="7">
      <w:start w:val="1"/>
      <w:numFmt w:val="bullet"/>
      <w:lvlText w:val="•"/>
      <w:lvlJc w:val="left"/>
      <w:pPr>
        <w:ind w:left="6714" w:hanging="720"/>
      </w:pPr>
      <w:rPr>
        <w:vertAlign w:val="baseline"/>
      </w:rPr>
    </w:lvl>
    <w:lvl w:ilvl="8">
      <w:start w:val="1"/>
      <w:numFmt w:val="bullet"/>
      <w:lvlText w:val="•"/>
      <w:lvlJc w:val="left"/>
      <w:pPr>
        <w:ind w:left="7556" w:hanging="7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autoSpaceDE w:val="0"/>
      <w:autoSpaceDN w:val="0"/>
      <w:adjustRightInd w:val="0"/>
      <w:spacing w:line="1" w:lineRule="atLeast"/>
      <w:ind w:left="-1" w:leftChars="-1" w:hanging="1" w:hangingChars="1"/>
      <w:textDirection w:val="btLr"/>
      <w:textAlignment w:val="top"/>
      <w:outlineLvl w:val="0"/>
    </w:pPr>
    <w:rPr>
      <w:position w:val="-1"/>
      <w:lang w:eastAsia="en-GB"/>
    </w:rPr>
  </w:style>
  <w:style w:type="paragraph" w:styleId="1">
    <w:name w:val="heading 1"/>
    <w:basedOn w:val="a"/>
    <w:next w:val="a"/>
    <w:pPr>
      <w:ind w:left="100"/>
    </w:pPr>
    <w:rPr>
      <w:rFonts w:ascii="Arial" w:cs="Arial" w:hAnsi="Arial"/>
      <w:b w:val="1"/>
      <w:bCs w:val="1"/>
      <w:sz w:val="22"/>
      <w:szCs w:val="22"/>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next w:val="Table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a4">
    <w:name w:val="Body Text"/>
    <w:basedOn w:val="a"/>
    <w:pPr>
      <w:ind w:left="820" w:hanging="720"/>
    </w:pPr>
    <w:rPr>
      <w:rFonts w:ascii="Arial" w:cs="Arial" w:hAnsi="Arial"/>
      <w:sz w:val="22"/>
      <w:szCs w:val="22"/>
    </w:rPr>
  </w:style>
  <w:style w:type="character" w:styleId="BodyTextChar" w:customStyle="1">
    <w:name w:val="Body Text Char"/>
    <w:rPr>
      <w:rFonts w:ascii="Times New Roman" w:cs="Times New Roman" w:hAnsi="Times New Roman"/>
      <w:w w:val="100"/>
      <w:position w:val="-1"/>
      <w:sz w:val="24"/>
      <w:szCs w:val="24"/>
      <w:effect w:val="none"/>
      <w:vertAlign w:val="baseline"/>
      <w:cs w:val="0"/>
      <w:em w:val="none"/>
    </w:rPr>
  </w:style>
  <w:style w:type="character" w:styleId="Heading1Char" w:customStyle="1">
    <w:name w:val="Heading 1 Char"/>
    <w:rPr>
      <w:rFonts w:ascii="Calibri Light" w:cs="Times New Roman" w:eastAsia="Times New Roman" w:hAnsi="Calibri Light"/>
      <w:b w:val="1"/>
      <w:bCs w:val="1"/>
      <w:w w:val="100"/>
      <w:kern w:val="32"/>
      <w:position w:val="-1"/>
      <w:sz w:val="32"/>
      <w:szCs w:val="32"/>
      <w:effect w:val="none"/>
      <w:vertAlign w:val="baseline"/>
      <w:cs w:val="0"/>
      <w:em w:val="none"/>
    </w:rPr>
  </w:style>
  <w:style w:type="paragraph" w:styleId="a5">
    <w:name w:val="List Paragraph"/>
    <w:basedOn w:val="a"/>
  </w:style>
  <w:style w:type="paragraph" w:styleId="TableParagraph" w:customStyle="1">
    <w:name w:val="Table Paragraph"/>
    <w:basedOn w:val="a"/>
  </w:style>
  <w:style w:type="paragraph" w:styleId="a6">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8y030W69k12KhA0P82gunNkqQ==">AMUW2mVGlfXitSVHtje5s1rZTeoeKb0BIm35SQozOih+xT1PR927HDDVQPTojoOIvuXi1L9aNiD3lcSmpZMgfe+beG7eG2XpmHr+VsVmeyPEaIH1p8WQulrtC7l39Zabmgcgi4Hph9sV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2019-10-14T14:44:00Z</dcterms:created>
  <dc:creator>Office 2</dc:creator>
</cp:coreProperties>
</file>