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3F934" w14:textId="77777777" w:rsidR="0018642D" w:rsidRDefault="0018642D">
      <w:pPr>
        <w:rPr>
          <w:rFonts w:ascii="Arial" w:hAnsi="Arial"/>
          <w:sz w:val="22"/>
        </w:rPr>
      </w:pPr>
      <w:bookmarkStart w:id="0" w:name="CoHeader"/>
      <w:bookmarkEnd w:id="0"/>
    </w:p>
    <w:p w14:paraId="2DAC29EA" w14:textId="77777777" w:rsidR="0018642D" w:rsidRDefault="0018642D">
      <w:pPr>
        <w:tabs>
          <w:tab w:val="left" w:pos="4050"/>
        </w:tabs>
        <w:jc w:val="center"/>
        <w:rPr>
          <w:rFonts w:ascii="Arial" w:hAnsi="Arial"/>
          <w:b/>
          <w:spacing w:val="150"/>
          <w:sz w:val="22"/>
        </w:rPr>
      </w:pPr>
    </w:p>
    <w:p w14:paraId="40D0D0AC" w14:textId="77777777" w:rsidR="0018642D" w:rsidRDefault="0018642D">
      <w:pPr>
        <w:tabs>
          <w:tab w:val="left" w:pos="4050"/>
        </w:tabs>
        <w:jc w:val="center"/>
        <w:rPr>
          <w:rFonts w:ascii="Arial" w:hAnsi="Arial"/>
          <w:b/>
          <w:spacing w:val="150"/>
          <w:sz w:val="22"/>
        </w:rPr>
      </w:pPr>
    </w:p>
    <w:p w14:paraId="25E22815" w14:textId="77777777" w:rsidR="0018642D" w:rsidRDefault="002E19BD">
      <w:pPr>
        <w:tabs>
          <w:tab w:val="left" w:pos="4050"/>
        </w:tabs>
        <w:jc w:val="center"/>
        <w:rPr>
          <w:rFonts w:ascii="Arial" w:hAnsi="Arial"/>
          <w:b/>
          <w:spacing w:val="150"/>
          <w:sz w:val="22"/>
        </w:rPr>
      </w:pPr>
      <w:r>
        <w:rPr>
          <w:rFonts w:ascii="Arial" w:hAnsi="Arial"/>
          <w:b/>
          <w:spacing w:val="150"/>
          <w:sz w:val="22"/>
        </w:rPr>
        <w:t>UNIT STATEMENT</w:t>
      </w:r>
      <w:bookmarkStart w:id="1" w:name="CoFooter"/>
      <w:bookmarkEnd w:id="1"/>
    </w:p>
    <w:p w14:paraId="7028800C" w14:textId="77777777" w:rsidR="0018642D" w:rsidRDefault="0018642D">
      <w:pPr>
        <w:rPr>
          <w:rFonts w:ascii="Arial" w:hAnsi="Arial"/>
          <w:sz w:val="22"/>
        </w:rPr>
      </w:pPr>
    </w:p>
    <w:p w14:paraId="5CC54511" w14:textId="77777777" w:rsidR="0018642D" w:rsidRDefault="0018642D">
      <w:pPr>
        <w:rPr>
          <w:rFonts w:ascii="Arial" w:hAnsi="Arial"/>
          <w:sz w:val="22"/>
        </w:rPr>
      </w:pPr>
    </w:p>
    <w:tbl>
      <w:tblPr>
        <w:tblW w:w="0" w:type="auto"/>
        <w:tblInd w:w="-34" w:type="dxa"/>
        <w:tblLayout w:type="fixed"/>
        <w:tblLook w:val="0000" w:firstRow="0" w:lastRow="0" w:firstColumn="0" w:lastColumn="0" w:noHBand="0" w:noVBand="0"/>
      </w:tblPr>
      <w:tblGrid>
        <w:gridCol w:w="3260"/>
        <w:gridCol w:w="283"/>
        <w:gridCol w:w="6095"/>
      </w:tblGrid>
      <w:tr w:rsidR="0018642D" w14:paraId="05ADEF91" w14:textId="77777777">
        <w:tc>
          <w:tcPr>
            <w:tcW w:w="3260" w:type="dxa"/>
          </w:tcPr>
          <w:p w14:paraId="16F78EFF" w14:textId="77777777" w:rsidR="0018642D" w:rsidRDefault="0018642D">
            <w:pPr>
              <w:rPr>
                <w:rFonts w:ascii="Arial" w:hAnsi="Arial"/>
                <w:b/>
                <w:sz w:val="22"/>
              </w:rPr>
            </w:pPr>
          </w:p>
        </w:tc>
        <w:tc>
          <w:tcPr>
            <w:tcW w:w="283" w:type="dxa"/>
          </w:tcPr>
          <w:p w14:paraId="32357CBE" w14:textId="77777777" w:rsidR="0018642D" w:rsidRDefault="0018642D">
            <w:pPr>
              <w:rPr>
                <w:rFonts w:ascii="Arial" w:hAnsi="Arial"/>
                <w:sz w:val="22"/>
              </w:rPr>
            </w:pPr>
          </w:p>
        </w:tc>
        <w:tc>
          <w:tcPr>
            <w:tcW w:w="6095" w:type="dxa"/>
          </w:tcPr>
          <w:p w14:paraId="48FF5007" w14:textId="77777777" w:rsidR="0018642D" w:rsidRDefault="0018642D">
            <w:pPr>
              <w:rPr>
                <w:rFonts w:ascii="Arial" w:hAnsi="Arial"/>
                <w:sz w:val="22"/>
              </w:rPr>
            </w:pPr>
          </w:p>
        </w:tc>
      </w:tr>
      <w:tr w:rsidR="0018642D" w14:paraId="139513DF" w14:textId="77777777">
        <w:tc>
          <w:tcPr>
            <w:tcW w:w="3260" w:type="dxa"/>
          </w:tcPr>
          <w:p w14:paraId="7CCC4B0A" w14:textId="77777777" w:rsidR="0018642D" w:rsidRDefault="002E19BD">
            <w:pPr>
              <w:rPr>
                <w:rFonts w:ascii="Arial" w:hAnsi="Arial"/>
                <w:b/>
                <w:sz w:val="22"/>
              </w:rPr>
            </w:pPr>
            <w:r>
              <w:rPr>
                <w:rFonts w:ascii="Arial" w:hAnsi="Arial"/>
                <w:b/>
                <w:sz w:val="22"/>
              </w:rPr>
              <w:t>PLAN NUMBER</w:t>
            </w:r>
          </w:p>
        </w:tc>
        <w:tc>
          <w:tcPr>
            <w:tcW w:w="283" w:type="dxa"/>
          </w:tcPr>
          <w:p w14:paraId="4467B5C5" w14:textId="77777777" w:rsidR="0018642D" w:rsidRDefault="0018642D">
            <w:pPr>
              <w:rPr>
                <w:rFonts w:ascii="Arial" w:hAnsi="Arial"/>
                <w:sz w:val="22"/>
              </w:rPr>
            </w:pPr>
          </w:p>
        </w:tc>
        <w:tc>
          <w:tcPr>
            <w:tcW w:w="6095" w:type="dxa"/>
          </w:tcPr>
          <w:p w14:paraId="59B51936" w14:textId="77777777" w:rsidR="0018642D" w:rsidRDefault="00587312">
            <w:pPr>
              <w:rPr>
                <w:rFonts w:ascii="Arial" w:hAnsi="Arial"/>
                <w:sz w:val="22"/>
              </w:rPr>
            </w:pPr>
            <w:bookmarkStart w:id="2" w:name="PlanId"/>
            <w:bookmarkEnd w:id="2"/>
            <w:r>
              <w:rPr>
                <w:rFonts w:ascii="Arial" w:hAnsi="Arial"/>
                <w:sz w:val="22"/>
              </w:rPr>
              <w:t>L9057136I</w:t>
            </w:r>
          </w:p>
        </w:tc>
      </w:tr>
      <w:tr w:rsidR="0018642D" w14:paraId="362E3E58" w14:textId="77777777">
        <w:tc>
          <w:tcPr>
            <w:tcW w:w="3260" w:type="dxa"/>
          </w:tcPr>
          <w:p w14:paraId="59281106" w14:textId="77777777" w:rsidR="0018642D" w:rsidRDefault="0018642D">
            <w:pPr>
              <w:rPr>
                <w:rFonts w:ascii="Arial" w:hAnsi="Arial"/>
                <w:b/>
                <w:sz w:val="22"/>
              </w:rPr>
            </w:pPr>
          </w:p>
        </w:tc>
        <w:tc>
          <w:tcPr>
            <w:tcW w:w="283" w:type="dxa"/>
          </w:tcPr>
          <w:p w14:paraId="71220A2A" w14:textId="77777777" w:rsidR="0018642D" w:rsidRDefault="0018642D">
            <w:pPr>
              <w:rPr>
                <w:rFonts w:ascii="Arial" w:hAnsi="Arial"/>
                <w:sz w:val="22"/>
              </w:rPr>
            </w:pPr>
          </w:p>
        </w:tc>
        <w:tc>
          <w:tcPr>
            <w:tcW w:w="6095" w:type="dxa"/>
          </w:tcPr>
          <w:p w14:paraId="41ECD82E" w14:textId="77777777" w:rsidR="0018642D" w:rsidRDefault="0018642D">
            <w:pPr>
              <w:rPr>
                <w:rFonts w:ascii="Arial" w:hAnsi="Arial"/>
                <w:sz w:val="22"/>
              </w:rPr>
            </w:pPr>
          </w:p>
        </w:tc>
      </w:tr>
      <w:tr w:rsidR="0018642D" w14:paraId="7579112F" w14:textId="77777777">
        <w:tc>
          <w:tcPr>
            <w:tcW w:w="3260" w:type="dxa"/>
          </w:tcPr>
          <w:p w14:paraId="271A8372" w14:textId="77777777" w:rsidR="0018642D" w:rsidRDefault="00587312">
            <w:pPr>
              <w:rPr>
                <w:rFonts w:ascii="Arial" w:hAnsi="Arial"/>
                <w:b/>
                <w:sz w:val="22"/>
              </w:rPr>
            </w:pPr>
            <w:bookmarkStart w:id="3" w:name="PopulatePlanTable"/>
            <w:bookmarkEnd w:id="3"/>
            <w:r>
              <w:rPr>
                <w:rFonts w:ascii="Arial" w:hAnsi="Arial"/>
                <w:b/>
                <w:sz w:val="22"/>
              </w:rPr>
              <w:t>PLAN OWNER</w:t>
            </w:r>
          </w:p>
        </w:tc>
        <w:tc>
          <w:tcPr>
            <w:tcW w:w="283" w:type="dxa"/>
          </w:tcPr>
          <w:p w14:paraId="3F317F36" w14:textId="77777777" w:rsidR="0018642D" w:rsidRDefault="0018642D">
            <w:pPr>
              <w:rPr>
                <w:rFonts w:ascii="Arial" w:hAnsi="Arial"/>
                <w:sz w:val="22"/>
              </w:rPr>
            </w:pPr>
          </w:p>
        </w:tc>
        <w:tc>
          <w:tcPr>
            <w:tcW w:w="6095" w:type="dxa"/>
          </w:tcPr>
          <w:p w14:paraId="68EA0971" w14:textId="77777777" w:rsidR="0018642D" w:rsidRDefault="00587312">
            <w:pPr>
              <w:rPr>
                <w:rFonts w:ascii="Arial" w:hAnsi="Arial"/>
                <w:sz w:val="22"/>
              </w:rPr>
            </w:pPr>
            <w:r>
              <w:rPr>
                <w:rFonts w:ascii="Arial" w:hAnsi="Arial"/>
                <w:sz w:val="22"/>
              </w:rPr>
              <w:t>Qualimach SSAS - Keith Senior</w:t>
            </w:r>
          </w:p>
        </w:tc>
      </w:tr>
      <w:tr w:rsidR="0018642D" w14:paraId="4B7139DB" w14:textId="77777777">
        <w:tc>
          <w:tcPr>
            <w:tcW w:w="3260" w:type="dxa"/>
          </w:tcPr>
          <w:p w14:paraId="40952FCF" w14:textId="77777777" w:rsidR="0018642D" w:rsidRDefault="0018642D">
            <w:pPr>
              <w:rPr>
                <w:rFonts w:ascii="Arial" w:hAnsi="Arial"/>
                <w:b/>
                <w:sz w:val="22"/>
              </w:rPr>
            </w:pPr>
          </w:p>
        </w:tc>
        <w:tc>
          <w:tcPr>
            <w:tcW w:w="283" w:type="dxa"/>
          </w:tcPr>
          <w:p w14:paraId="3657FC3B" w14:textId="77777777" w:rsidR="0018642D" w:rsidRDefault="0018642D">
            <w:pPr>
              <w:rPr>
                <w:rFonts w:ascii="Arial" w:hAnsi="Arial"/>
                <w:sz w:val="22"/>
              </w:rPr>
            </w:pPr>
          </w:p>
        </w:tc>
        <w:tc>
          <w:tcPr>
            <w:tcW w:w="6095" w:type="dxa"/>
          </w:tcPr>
          <w:p w14:paraId="687429B7" w14:textId="77777777" w:rsidR="0018642D" w:rsidRDefault="0018642D">
            <w:pPr>
              <w:rPr>
                <w:rFonts w:ascii="Arial" w:hAnsi="Arial"/>
                <w:sz w:val="22"/>
              </w:rPr>
            </w:pPr>
          </w:p>
        </w:tc>
      </w:tr>
      <w:tr w:rsidR="00587312" w14:paraId="0949E03B" w14:textId="77777777">
        <w:tc>
          <w:tcPr>
            <w:tcW w:w="3260" w:type="dxa"/>
          </w:tcPr>
          <w:p w14:paraId="51C5615F" w14:textId="77777777" w:rsidR="00587312" w:rsidRDefault="00587312">
            <w:pPr>
              <w:rPr>
                <w:rFonts w:ascii="Arial" w:hAnsi="Arial"/>
                <w:b/>
                <w:sz w:val="22"/>
              </w:rPr>
            </w:pPr>
            <w:r>
              <w:rPr>
                <w:rFonts w:ascii="Arial" w:hAnsi="Arial"/>
                <w:b/>
                <w:sz w:val="22"/>
              </w:rPr>
              <w:t>LIFE ASSURED</w:t>
            </w:r>
          </w:p>
        </w:tc>
        <w:tc>
          <w:tcPr>
            <w:tcW w:w="283" w:type="dxa"/>
          </w:tcPr>
          <w:p w14:paraId="1C35590C" w14:textId="77777777" w:rsidR="00587312" w:rsidRDefault="00587312">
            <w:pPr>
              <w:rPr>
                <w:rFonts w:ascii="Arial" w:hAnsi="Arial"/>
                <w:sz w:val="22"/>
              </w:rPr>
            </w:pPr>
          </w:p>
        </w:tc>
        <w:tc>
          <w:tcPr>
            <w:tcW w:w="6095" w:type="dxa"/>
          </w:tcPr>
          <w:p w14:paraId="45A5EB8A" w14:textId="77777777" w:rsidR="00587312" w:rsidRDefault="00587312">
            <w:pPr>
              <w:rPr>
                <w:rFonts w:ascii="Arial" w:hAnsi="Arial"/>
                <w:sz w:val="22"/>
              </w:rPr>
            </w:pPr>
            <w:bookmarkStart w:id="4" w:name="LifeAssuredNames"/>
            <w:bookmarkEnd w:id="4"/>
            <w:r>
              <w:rPr>
                <w:rFonts w:ascii="Arial" w:hAnsi="Arial"/>
                <w:sz w:val="22"/>
              </w:rPr>
              <w:t>Keith Arthur Senior</w:t>
            </w:r>
          </w:p>
        </w:tc>
      </w:tr>
    </w:tbl>
    <w:p w14:paraId="722BFBC4" w14:textId="77777777" w:rsidR="0018642D" w:rsidRDefault="0018642D">
      <w:pPr>
        <w:pStyle w:val="Heading4"/>
        <w:keepNext w:val="0"/>
        <w:rPr>
          <w:rFonts w:ascii="Arial" w:hAnsi="Arial"/>
        </w:rPr>
      </w:pPr>
    </w:p>
    <w:p w14:paraId="1C668138" w14:textId="77777777" w:rsidR="0018642D" w:rsidRDefault="0018642D">
      <w:pPr>
        <w:rPr>
          <w:rFonts w:ascii="Arial" w:hAnsi="Arial"/>
        </w:rPr>
      </w:pPr>
      <w:bookmarkStart w:id="5" w:name="SecuredIncomeLifeAssured"/>
      <w:bookmarkEnd w:id="5"/>
    </w:p>
    <w:p w14:paraId="2378144B" w14:textId="77777777" w:rsidR="0018642D" w:rsidRDefault="0018642D">
      <w:pPr>
        <w:rPr>
          <w:rFonts w:ascii="Arial" w:hAnsi="Arial"/>
        </w:rPr>
      </w:pPr>
    </w:p>
    <w:p w14:paraId="50AF37A5" w14:textId="77777777" w:rsidR="0018642D" w:rsidRDefault="002E19BD">
      <w:pPr>
        <w:pStyle w:val="Heading4"/>
        <w:keepLines/>
        <w:rPr>
          <w:rFonts w:ascii="Arial" w:hAnsi="Arial"/>
        </w:rPr>
      </w:pPr>
      <w:r>
        <w:rPr>
          <w:rFonts w:ascii="Arial" w:hAnsi="Arial"/>
        </w:rPr>
        <w:t xml:space="preserve">DETAILS OF UNITS HELD AT </w:t>
      </w:r>
      <w:bookmarkStart w:id="6" w:name="PricingDate"/>
      <w:bookmarkEnd w:id="6"/>
      <w:r w:rsidR="00587312">
        <w:rPr>
          <w:rFonts w:ascii="Arial" w:hAnsi="Arial"/>
        </w:rPr>
        <w:t>5 APRIL 2021</w:t>
      </w:r>
    </w:p>
    <w:p w14:paraId="6CF689D5" w14:textId="77777777" w:rsidR="0018642D" w:rsidRDefault="0018642D">
      <w:pPr>
        <w:keepNext/>
        <w:keepLines/>
        <w:rPr>
          <w:rFonts w:ascii="Arial" w:hAnsi="Arial"/>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939"/>
        <w:gridCol w:w="1939"/>
        <w:gridCol w:w="1939"/>
      </w:tblGrid>
      <w:tr w:rsidR="0018642D" w14:paraId="5304C35D" w14:textId="77777777">
        <w:trPr>
          <w:tblHeader/>
        </w:trPr>
        <w:tc>
          <w:tcPr>
            <w:tcW w:w="3827" w:type="dxa"/>
          </w:tcPr>
          <w:p w14:paraId="4912A8DD" w14:textId="77777777" w:rsidR="0018642D" w:rsidRDefault="002E19BD">
            <w:pPr>
              <w:keepNext/>
              <w:keepLines/>
              <w:rPr>
                <w:rFonts w:ascii="Arial" w:hAnsi="Arial"/>
                <w:b/>
                <w:sz w:val="22"/>
              </w:rPr>
            </w:pPr>
            <w:r>
              <w:rPr>
                <w:rFonts w:ascii="Arial" w:hAnsi="Arial"/>
                <w:b/>
                <w:sz w:val="22"/>
              </w:rPr>
              <w:t>Name of Investment</w:t>
            </w:r>
          </w:p>
        </w:tc>
        <w:tc>
          <w:tcPr>
            <w:tcW w:w="1939" w:type="dxa"/>
          </w:tcPr>
          <w:p w14:paraId="6BE5031E" w14:textId="77777777" w:rsidR="0018642D" w:rsidRDefault="002E19BD">
            <w:pPr>
              <w:keepNext/>
              <w:keepLines/>
              <w:jc w:val="center"/>
              <w:rPr>
                <w:rFonts w:ascii="Arial" w:hAnsi="Arial"/>
                <w:b/>
                <w:sz w:val="22"/>
              </w:rPr>
            </w:pPr>
            <w:r>
              <w:rPr>
                <w:rFonts w:ascii="Arial" w:hAnsi="Arial"/>
                <w:b/>
                <w:sz w:val="22"/>
              </w:rPr>
              <w:t>Number of Units Held</w:t>
            </w:r>
          </w:p>
          <w:p w14:paraId="4BB59820" w14:textId="77777777" w:rsidR="0018642D" w:rsidRDefault="0018642D">
            <w:pPr>
              <w:keepNext/>
              <w:keepLines/>
              <w:jc w:val="center"/>
              <w:rPr>
                <w:rFonts w:ascii="Arial" w:hAnsi="Arial"/>
                <w:b/>
                <w:sz w:val="22"/>
              </w:rPr>
            </w:pPr>
          </w:p>
        </w:tc>
        <w:tc>
          <w:tcPr>
            <w:tcW w:w="1939" w:type="dxa"/>
          </w:tcPr>
          <w:p w14:paraId="1099D1C7" w14:textId="77777777" w:rsidR="0018642D" w:rsidRDefault="002E19BD">
            <w:pPr>
              <w:keepNext/>
              <w:keepLines/>
              <w:jc w:val="center"/>
              <w:rPr>
                <w:rFonts w:ascii="Arial" w:hAnsi="Arial"/>
                <w:b/>
                <w:sz w:val="22"/>
              </w:rPr>
            </w:pPr>
            <w:r>
              <w:rPr>
                <w:rFonts w:ascii="Arial" w:hAnsi="Arial"/>
                <w:b/>
                <w:sz w:val="22"/>
              </w:rPr>
              <w:t>Current Unit Price</w:t>
            </w:r>
          </w:p>
        </w:tc>
        <w:tc>
          <w:tcPr>
            <w:tcW w:w="1939" w:type="dxa"/>
          </w:tcPr>
          <w:p w14:paraId="78118413" w14:textId="77777777" w:rsidR="0018642D" w:rsidRDefault="002E19BD">
            <w:pPr>
              <w:jc w:val="center"/>
              <w:rPr>
                <w:rFonts w:ascii="Arial" w:hAnsi="Arial"/>
                <w:b/>
                <w:sz w:val="22"/>
              </w:rPr>
            </w:pPr>
            <w:r>
              <w:rPr>
                <w:rFonts w:ascii="Arial" w:hAnsi="Arial"/>
                <w:b/>
                <w:sz w:val="22"/>
              </w:rPr>
              <w:t>Current Fund Value (See Notes)</w:t>
            </w:r>
          </w:p>
        </w:tc>
      </w:tr>
      <w:tr w:rsidR="0018642D" w14:paraId="457A8888" w14:textId="77777777">
        <w:tc>
          <w:tcPr>
            <w:tcW w:w="3827" w:type="dxa"/>
          </w:tcPr>
          <w:p w14:paraId="78C7A75D" w14:textId="77777777" w:rsidR="0018642D" w:rsidRDefault="00587312">
            <w:pPr>
              <w:keepNext/>
              <w:keepLines/>
              <w:rPr>
                <w:rFonts w:ascii="Arial" w:hAnsi="Arial"/>
                <w:sz w:val="22"/>
              </w:rPr>
            </w:pPr>
            <w:bookmarkStart w:id="7" w:name="InsertFundData"/>
            <w:bookmarkEnd w:id="7"/>
            <w:r>
              <w:rPr>
                <w:rFonts w:ascii="Arial" w:hAnsi="Arial"/>
                <w:sz w:val="22"/>
              </w:rPr>
              <w:t>MetLife Managed Wealth Portfolio - Fdn Secure Income Option</w:t>
            </w:r>
          </w:p>
        </w:tc>
        <w:tc>
          <w:tcPr>
            <w:tcW w:w="1939" w:type="dxa"/>
          </w:tcPr>
          <w:p w14:paraId="1E6CA029" w14:textId="77777777" w:rsidR="0018642D" w:rsidRDefault="00587312">
            <w:pPr>
              <w:keepNext/>
              <w:keepLines/>
              <w:jc w:val="center"/>
              <w:rPr>
                <w:rFonts w:ascii="Arial" w:hAnsi="Arial"/>
                <w:sz w:val="22"/>
              </w:rPr>
            </w:pPr>
            <w:r>
              <w:rPr>
                <w:rFonts w:ascii="Arial" w:hAnsi="Arial"/>
                <w:sz w:val="22"/>
              </w:rPr>
              <w:t>399698.275</w:t>
            </w:r>
          </w:p>
        </w:tc>
        <w:tc>
          <w:tcPr>
            <w:tcW w:w="1939" w:type="dxa"/>
          </w:tcPr>
          <w:p w14:paraId="484904A9" w14:textId="77777777" w:rsidR="0018642D" w:rsidRDefault="00587312">
            <w:pPr>
              <w:keepNext/>
              <w:keepLines/>
              <w:jc w:val="center"/>
              <w:rPr>
                <w:rFonts w:ascii="Arial" w:hAnsi="Arial"/>
                <w:sz w:val="22"/>
              </w:rPr>
            </w:pPr>
            <w:r>
              <w:rPr>
                <w:rFonts w:ascii="Arial" w:hAnsi="Arial"/>
                <w:sz w:val="22"/>
              </w:rPr>
              <w:t>£1.41045</w:t>
            </w:r>
          </w:p>
        </w:tc>
        <w:tc>
          <w:tcPr>
            <w:tcW w:w="1939" w:type="dxa"/>
          </w:tcPr>
          <w:p w14:paraId="344490FA" w14:textId="77777777" w:rsidR="0018642D" w:rsidRDefault="00587312">
            <w:pPr>
              <w:keepNext/>
              <w:keepLines/>
              <w:jc w:val="center"/>
              <w:rPr>
                <w:rFonts w:ascii="Arial" w:hAnsi="Arial"/>
                <w:sz w:val="22"/>
              </w:rPr>
            </w:pPr>
            <w:r>
              <w:rPr>
                <w:rFonts w:ascii="Arial" w:hAnsi="Arial"/>
                <w:sz w:val="22"/>
              </w:rPr>
              <w:t>£563,754.43</w:t>
            </w:r>
          </w:p>
        </w:tc>
      </w:tr>
      <w:tr w:rsidR="00587312" w14:paraId="491CA596" w14:textId="77777777">
        <w:tc>
          <w:tcPr>
            <w:tcW w:w="3827" w:type="dxa"/>
          </w:tcPr>
          <w:p w14:paraId="08D4AEB7" w14:textId="77777777" w:rsidR="00587312" w:rsidRDefault="00587312">
            <w:pPr>
              <w:keepNext/>
              <w:keepLines/>
              <w:rPr>
                <w:rFonts w:ascii="Arial" w:hAnsi="Arial"/>
                <w:sz w:val="22"/>
              </w:rPr>
            </w:pPr>
          </w:p>
        </w:tc>
        <w:tc>
          <w:tcPr>
            <w:tcW w:w="1939" w:type="dxa"/>
          </w:tcPr>
          <w:p w14:paraId="623F45C5" w14:textId="77777777" w:rsidR="00587312" w:rsidRDefault="00587312">
            <w:pPr>
              <w:keepNext/>
              <w:keepLines/>
              <w:jc w:val="center"/>
              <w:rPr>
                <w:rFonts w:ascii="Arial" w:hAnsi="Arial"/>
                <w:sz w:val="22"/>
              </w:rPr>
            </w:pPr>
          </w:p>
        </w:tc>
        <w:tc>
          <w:tcPr>
            <w:tcW w:w="1939" w:type="dxa"/>
          </w:tcPr>
          <w:p w14:paraId="3064859D" w14:textId="77777777" w:rsidR="00587312" w:rsidRDefault="00587312">
            <w:pPr>
              <w:keepNext/>
              <w:keepLines/>
              <w:jc w:val="center"/>
              <w:rPr>
                <w:rFonts w:ascii="Arial" w:hAnsi="Arial"/>
                <w:sz w:val="22"/>
              </w:rPr>
            </w:pPr>
          </w:p>
        </w:tc>
        <w:tc>
          <w:tcPr>
            <w:tcW w:w="1939" w:type="dxa"/>
          </w:tcPr>
          <w:p w14:paraId="1B6692DB" w14:textId="77777777" w:rsidR="00587312" w:rsidRDefault="00587312">
            <w:pPr>
              <w:keepNext/>
              <w:keepLines/>
              <w:jc w:val="center"/>
              <w:rPr>
                <w:rFonts w:ascii="Arial" w:hAnsi="Arial"/>
                <w:sz w:val="22"/>
              </w:rPr>
            </w:pPr>
          </w:p>
        </w:tc>
      </w:tr>
      <w:tr w:rsidR="0018642D" w14:paraId="03BE7AF6" w14:textId="77777777">
        <w:tc>
          <w:tcPr>
            <w:tcW w:w="3827" w:type="dxa"/>
          </w:tcPr>
          <w:p w14:paraId="6B095703" w14:textId="77777777" w:rsidR="0018642D" w:rsidRPr="00587312" w:rsidRDefault="00587312">
            <w:pPr>
              <w:keepNext/>
              <w:keepLines/>
              <w:rPr>
                <w:rFonts w:ascii="Arial" w:hAnsi="Arial"/>
                <w:sz w:val="22"/>
              </w:rPr>
            </w:pPr>
            <w:r>
              <w:rPr>
                <w:rFonts w:ascii="Arial" w:hAnsi="Arial"/>
                <w:b/>
                <w:sz w:val="22"/>
              </w:rPr>
              <w:t>Total</w:t>
            </w:r>
          </w:p>
        </w:tc>
        <w:tc>
          <w:tcPr>
            <w:tcW w:w="1939" w:type="dxa"/>
          </w:tcPr>
          <w:p w14:paraId="605C0107" w14:textId="77777777" w:rsidR="0018642D" w:rsidRDefault="0018642D">
            <w:pPr>
              <w:keepNext/>
              <w:keepLines/>
              <w:jc w:val="center"/>
              <w:rPr>
                <w:rFonts w:ascii="Arial" w:hAnsi="Arial"/>
                <w:sz w:val="22"/>
              </w:rPr>
            </w:pPr>
          </w:p>
        </w:tc>
        <w:tc>
          <w:tcPr>
            <w:tcW w:w="1939" w:type="dxa"/>
          </w:tcPr>
          <w:p w14:paraId="44A05BF5" w14:textId="77777777" w:rsidR="0018642D" w:rsidRDefault="0018642D">
            <w:pPr>
              <w:keepNext/>
              <w:keepLines/>
              <w:jc w:val="center"/>
              <w:rPr>
                <w:rFonts w:ascii="Arial" w:hAnsi="Arial"/>
                <w:sz w:val="22"/>
              </w:rPr>
            </w:pPr>
          </w:p>
        </w:tc>
        <w:tc>
          <w:tcPr>
            <w:tcW w:w="1939" w:type="dxa"/>
          </w:tcPr>
          <w:p w14:paraId="56F4ADDA" w14:textId="77777777" w:rsidR="0018642D" w:rsidRPr="00587312" w:rsidRDefault="00587312">
            <w:pPr>
              <w:keepNext/>
              <w:keepLines/>
              <w:jc w:val="center"/>
              <w:rPr>
                <w:rFonts w:ascii="Arial" w:hAnsi="Arial"/>
                <w:sz w:val="22"/>
              </w:rPr>
            </w:pPr>
            <w:r>
              <w:rPr>
                <w:rFonts w:ascii="Arial" w:hAnsi="Arial"/>
                <w:b/>
                <w:sz w:val="22"/>
              </w:rPr>
              <w:t>£</w:t>
            </w:r>
            <w:r>
              <w:rPr>
                <w:rFonts w:ascii="Arial" w:hAnsi="Arial"/>
                <w:b/>
                <w:sz w:val="22"/>
              </w:rPr>
              <w:fldChar w:fldCharType="begin"/>
            </w:r>
            <w:r>
              <w:rPr>
                <w:rFonts w:ascii="Arial" w:hAnsi="Arial"/>
                <w:b/>
                <w:sz w:val="22"/>
              </w:rPr>
              <w:instrText xml:space="preserve"> =SUM(ABOVE)\##,###.00 </w:instrText>
            </w:r>
            <w:r>
              <w:rPr>
                <w:rFonts w:ascii="Arial" w:hAnsi="Arial"/>
                <w:b/>
                <w:sz w:val="22"/>
              </w:rPr>
              <w:fldChar w:fldCharType="separate"/>
            </w:r>
            <w:r>
              <w:rPr>
                <w:rFonts w:ascii="Arial" w:hAnsi="Arial"/>
                <w:b/>
                <w:noProof/>
                <w:sz w:val="22"/>
              </w:rPr>
              <w:t>563,754.43</w:t>
            </w:r>
            <w:r>
              <w:rPr>
                <w:rFonts w:ascii="Arial" w:hAnsi="Arial"/>
                <w:b/>
                <w:sz w:val="22"/>
              </w:rPr>
              <w:fldChar w:fldCharType="end"/>
            </w:r>
          </w:p>
        </w:tc>
      </w:tr>
      <w:tr w:rsidR="0018642D" w14:paraId="7EFC40F6" w14:textId="77777777">
        <w:trPr>
          <w:trHeight w:val="285"/>
        </w:trPr>
        <w:tc>
          <w:tcPr>
            <w:tcW w:w="3827" w:type="dxa"/>
          </w:tcPr>
          <w:p w14:paraId="3D7FDF06" w14:textId="77777777" w:rsidR="0018642D" w:rsidRDefault="002E19BD">
            <w:pPr>
              <w:keepNext/>
              <w:keepLines/>
              <w:rPr>
                <w:rFonts w:ascii="Arial" w:hAnsi="Arial"/>
                <w:b/>
                <w:sz w:val="22"/>
              </w:rPr>
            </w:pPr>
            <w:r>
              <w:rPr>
                <w:rFonts w:ascii="Arial" w:hAnsi="Arial"/>
                <w:b/>
                <w:sz w:val="22"/>
              </w:rPr>
              <w:t>Current Cash In Value (See Notes)</w:t>
            </w:r>
          </w:p>
        </w:tc>
        <w:tc>
          <w:tcPr>
            <w:tcW w:w="1939" w:type="dxa"/>
          </w:tcPr>
          <w:p w14:paraId="6D9BB0BC" w14:textId="77777777" w:rsidR="0018642D" w:rsidRDefault="0018642D">
            <w:pPr>
              <w:keepNext/>
              <w:keepLines/>
              <w:jc w:val="center"/>
              <w:rPr>
                <w:rFonts w:ascii="Arial" w:hAnsi="Arial"/>
                <w:b/>
                <w:sz w:val="22"/>
              </w:rPr>
            </w:pPr>
          </w:p>
        </w:tc>
        <w:tc>
          <w:tcPr>
            <w:tcW w:w="1939" w:type="dxa"/>
          </w:tcPr>
          <w:p w14:paraId="08D8080C" w14:textId="77777777" w:rsidR="0018642D" w:rsidRDefault="0018642D">
            <w:pPr>
              <w:keepNext/>
              <w:keepLines/>
              <w:jc w:val="center"/>
              <w:rPr>
                <w:rFonts w:ascii="Arial" w:hAnsi="Arial"/>
                <w:b/>
                <w:sz w:val="22"/>
              </w:rPr>
            </w:pPr>
          </w:p>
        </w:tc>
        <w:tc>
          <w:tcPr>
            <w:tcW w:w="1939" w:type="dxa"/>
          </w:tcPr>
          <w:p w14:paraId="62B96FA0" w14:textId="77777777" w:rsidR="0018642D" w:rsidRPr="00587312" w:rsidRDefault="00587312">
            <w:pPr>
              <w:keepNext/>
              <w:keepLines/>
              <w:jc w:val="center"/>
              <w:rPr>
                <w:rFonts w:ascii="Arial" w:hAnsi="Arial"/>
                <w:sz w:val="22"/>
              </w:rPr>
            </w:pPr>
            <w:r>
              <w:rPr>
                <w:rFonts w:ascii="Arial" w:hAnsi="Arial"/>
                <w:b/>
                <w:sz w:val="22"/>
              </w:rPr>
              <w:t>£563,754.43</w:t>
            </w:r>
          </w:p>
        </w:tc>
      </w:tr>
    </w:tbl>
    <w:p w14:paraId="2E551687" w14:textId="77777777" w:rsidR="0018642D" w:rsidRDefault="0018642D">
      <w:pPr>
        <w:rPr>
          <w:rFonts w:ascii="Arial" w:hAnsi="Arial"/>
          <w:sz w:val="22"/>
        </w:rPr>
      </w:pPr>
    </w:p>
    <w:p w14:paraId="114E07F2" w14:textId="77777777" w:rsidR="0018642D" w:rsidRDefault="0018642D">
      <w:pPr>
        <w:rPr>
          <w:rFonts w:ascii="Arial" w:hAnsi="Arial"/>
        </w:rPr>
      </w:pPr>
      <w:bookmarkStart w:id="8" w:name="SCODetails"/>
      <w:bookmarkStart w:id="9" w:name="SIODetails"/>
      <w:bookmarkStart w:id="10" w:name="WebPageCheck"/>
      <w:bookmarkEnd w:id="8"/>
      <w:bookmarkEnd w:id="9"/>
      <w:bookmarkEnd w:id="10"/>
    </w:p>
    <w:p w14:paraId="79938CA7" w14:textId="77777777" w:rsidR="0018642D" w:rsidRDefault="0018642D">
      <w:pPr>
        <w:rPr>
          <w:rFonts w:ascii="Arial" w:hAnsi="Arial"/>
        </w:rPr>
      </w:pPr>
    </w:p>
    <w:tbl>
      <w:tblPr>
        <w:tblW w:w="0" w:type="auto"/>
        <w:tblInd w:w="-34" w:type="dxa"/>
        <w:tblLayout w:type="fixed"/>
        <w:tblLook w:val="0000" w:firstRow="0" w:lastRow="0" w:firstColumn="0" w:lastColumn="0" w:noHBand="0" w:noVBand="0"/>
      </w:tblPr>
      <w:tblGrid>
        <w:gridCol w:w="2410"/>
        <w:gridCol w:w="2694"/>
        <w:gridCol w:w="3118"/>
        <w:gridCol w:w="1418"/>
      </w:tblGrid>
      <w:tr w:rsidR="0018642D" w14:paraId="72346C7C" w14:textId="77777777">
        <w:trPr>
          <w:cantSplit/>
        </w:trPr>
        <w:tc>
          <w:tcPr>
            <w:tcW w:w="9640" w:type="dxa"/>
            <w:gridSpan w:val="4"/>
          </w:tcPr>
          <w:p w14:paraId="2C87D649" w14:textId="77777777" w:rsidR="0018642D" w:rsidRDefault="002E19BD">
            <w:pPr>
              <w:pStyle w:val="Footer"/>
              <w:keepNext/>
              <w:keepLines/>
              <w:widowControl w:val="0"/>
              <w:tabs>
                <w:tab w:val="clear" w:pos="4819"/>
                <w:tab w:val="clear" w:pos="9071"/>
              </w:tabs>
              <w:rPr>
                <w:rFonts w:ascii="Arial" w:hAnsi="Arial"/>
                <w:b/>
                <w:color w:val="FF0000"/>
                <w:sz w:val="22"/>
              </w:rPr>
            </w:pPr>
            <w:r>
              <w:rPr>
                <w:rFonts w:ascii="Arial" w:hAnsi="Arial"/>
                <w:b/>
                <w:sz w:val="22"/>
              </w:rPr>
              <w:t>Additional details relating to the Secure Income Benefit are as follows:-</w:t>
            </w:r>
          </w:p>
        </w:tc>
      </w:tr>
      <w:tr w:rsidR="0018642D" w14:paraId="08A92964" w14:textId="77777777">
        <w:trPr>
          <w:cantSplit/>
        </w:trPr>
        <w:tc>
          <w:tcPr>
            <w:tcW w:w="2410" w:type="dxa"/>
          </w:tcPr>
          <w:p w14:paraId="6032B334" w14:textId="77777777" w:rsidR="0018642D" w:rsidRDefault="0018642D">
            <w:pPr>
              <w:keepNext/>
              <w:keepLines/>
              <w:widowControl w:val="0"/>
              <w:rPr>
                <w:rFonts w:ascii="Arial" w:hAnsi="Arial"/>
                <w:b/>
                <w:sz w:val="22"/>
              </w:rPr>
            </w:pPr>
          </w:p>
        </w:tc>
        <w:tc>
          <w:tcPr>
            <w:tcW w:w="2694" w:type="dxa"/>
          </w:tcPr>
          <w:p w14:paraId="1411A9EF" w14:textId="77777777" w:rsidR="0018642D" w:rsidRDefault="0018642D">
            <w:pPr>
              <w:keepNext/>
              <w:keepLines/>
              <w:widowControl w:val="0"/>
              <w:jc w:val="center"/>
              <w:rPr>
                <w:rFonts w:ascii="Arial" w:hAnsi="Arial"/>
                <w:b/>
                <w:sz w:val="22"/>
              </w:rPr>
            </w:pPr>
          </w:p>
        </w:tc>
        <w:tc>
          <w:tcPr>
            <w:tcW w:w="3118" w:type="dxa"/>
          </w:tcPr>
          <w:p w14:paraId="04B0F9B7" w14:textId="77777777" w:rsidR="0018642D" w:rsidRDefault="0018642D">
            <w:pPr>
              <w:keepNext/>
              <w:keepLines/>
              <w:widowControl w:val="0"/>
              <w:jc w:val="center"/>
              <w:rPr>
                <w:rFonts w:ascii="Arial" w:hAnsi="Arial"/>
                <w:b/>
                <w:sz w:val="22"/>
              </w:rPr>
            </w:pPr>
          </w:p>
        </w:tc>
        <w:tc>
          <w:tcPr>
            <w:tcW w:w="1418" w:type="dxa"/>
          </w:tcPr>
          <w:p w14:paraId="14688453" w14:textId="77777777" w:rsidR="0018642D" w:rsidRDefault="0018642D">
            <w:pPr>
              <w:keepNext/>
              <w:keepLines/>
              <w:widowControl w:val="0"/>
              <w:jc w:val="center"/>
              <w:rPr>
                <w:rFonts w:ascii="Arial" w:hAnsi="Arial"/>
                <w:b/>
                <w:color w:val="FF0000"/>
                <w:sz w:val="22"/>
              </w:rPr>
            </w:pPr>
          </w:p>
        </w:tc>
      </w:tr>
      <w:tr w:rsidR="0018642D" w14:paraId="6C640B92" w14:textId="77777777">
        <w:trPr>
          <w:cantSplit/>
        </w:trPr>
        <w:tc>
          <w:tcPr>
            <w:tcW w:w="2410" w:type="dxa"/>
            <w:tcBorders>
              <w:top w:val="single" w:sz="4" w:space="0" w:color="auto"/>
              <w:left w:val="single" w:sz="4" w:space="0" w:color="auto"/>
              <w:bottom w:val="single" w:sz="4" w:space="0" w:color="auto"/>
              <w:right w:val="single" w:sz="4" w:space="0" w:color="auto"/>
            </w:tcBorders>
          </w:tcPr>
          <w:p w14:paraId="5CA58E82" w14:textId="77777777" w:rsidR="0018642D" w:rsidRDefault="002E19BD">
            <w:pPr>
              <w:keepNext/>
              <w:keepLines/>
              <w:widowControl w:val="0"/>
              <w:rPr>
                <w:rFonts w:ascii="Arial" w:hAnsi="Arial"/>
                <w:b/>
                <w:sz w:val="22"/>
              </w:rPr>
            </w:pPr>
            <w:r>
              <w:rPr>
                <w:rFonts w:ascii="Arial" w:hAnsi="Arial"/>
                <w:b/>
                <w:sz w:val="22"/>
              </w:rPr>
              <w:t>Name of Secure Income Portfolio</w:t>
            </w:r>
          </w:p>
        </w:tc>
        <w:tc>
          <w:tcPr>
            <w:tcW w:w="2694" w:type="dxa"/>
            <w:tcBorders>
              <w:top w:val="single" w:sz="4" w:space="0" w:color="auto"/>
              <w:left w:val="single" w:sz="4" w:space="0" w:color="auto"/>
              <w:bottom w:val="single" w:sz="4" w:space="0" w:color="auto"/>
              <w:right w:val="single" w:sz="4" w:space="0" w:color="auto"/>
            </w:tcBorders>
          </w:tcPr>
          <w:p w14:paraId="5658FF5F" w14:textId="77777777" w:rsidR="0018642D" w:rsidRDefault="002E19BD">
            <w:pPr>
              <w:keepNext/>
              <w:keepLines/>
              <w:widowControl w:val="0"/>
              <w:jc w:val="center"/>
              <w:rPr>
                <w:rFonts w:ascii="Arial" w:hAnsi="Arial"/>
                <w:b/>
                <w:sz w:val="22"/>
              </w:rPr>
            </w:pPr>
            <w:r>
              <w:rPr>
                <w:rFonts w:ascii="Arial" w:hAnsi="Arial"/>
                <w:b/>
                <w:sz w:val="22"/>
              </w:rPr>
              <w:t xml:space="preserve">Guaranteed </w:t>
            </w:r>
          </w:p>
          <w:p w14:paraId="2F49B9CD" w14:textId="77777777" w:rsidR="0018642D" w:rsidRDefault="002E19BD">
            <w:pPr>
              <w:keepNext/>
              <w:keepLines/>
              <w:widowControl w:val="0"/>
              <w:jc w:val="center"/>
              <w:rPr>
                <w:rFonts w:ascii="Arial" w:hAnsi="Arial"/>
                <w:b/>
                <w:sz w:val="22"/>
              </w:rPr>
            </w:pPr>
            <w:r>
              <w:rPr>
                <w:rFonts w:ascii="Arial" w:hAnsi="Arial"/>
                <w:b/>
                <w:sz w:val="22"/>
              </w:rPr>
              <w:t>Death Benefit</w:t>
            </w:r>
          </w:p>
        </w:tc>
        <w:tc>
          <w:tcPr>
            <w:tcW w:w="3118" w:type="dxa"/>
            <w:tcBorders>
              <w:top w:val="single" w:sz="4" w:space="0" w:color="auto"/>
              <w:left w:val="single" w:sz="4" w:space="0" w:color="auto"/>
              <w:bottom w:val="single" w:sz="4" w:space="0" w:color="auto"/>
              <w:right w:val="single" w:sz="4" w:space="0" w:color="auto"/>
            </w:tcBorders>
          </w:tcPr>
          <w:p w14:paraId="3A69C298" w14:textId="77777777" w:rsidR="0018642D" w:rsidRDefault="002E19BD">
            <w:pPr>
              <w:keepNext/>
              <w:keepLines/>
              <w:widowControl w:val="0"/>
              <w:jc w:val="center"/>
              <w:rPr>
                <w:rFonts w:ascii="Arial" w:hAnsi="Arial"/>
                <w:b/>
                <w:sz w:val="22"/>
              </w:rPr>
            </w:pPr>
            <w:r>
              <w:rPr>
                <w:rFonts w:ascii="Arial" w:hAnsi="Arial"/>
                <w:b/>
                <w:sz w:val="22"/>
              </w:rPr>
              <w:t>Annual  Secure Withdrawal (Allowable from age 55)</w:t>
            </w:r>
          </w:p>
        </w:tc>
        <w:tc>
          <w:tcPr>
            <w:tcW w:w="1418" w:type="dxa"/>
            <w:tcBorders>
              <w:top w:val="single" w:sz="4" w:space="0" w:color="auto"/>
              <w:left w:val="single" w:sz="4" w:space="0" w:color="auto"/>
              <w:bottom w:val="single" w:sz="4" w:space="0" w:color="auto"/>
              <w:right w:val="single" w:sz="4" w:space="0" w:color="auto"/>
            </w:tcBorders>
          </w:tcPr>
          <w:p w14:paraId="065B01E3" w14:textId="77777777" w:rsidR="0018642D" w:rsidRDefault="002E19BD">
            <w:pPr>
              <w:keepNext/>
              <w:keepLines/>
              <w:widowControl w:val="0"/>
              <w:jc w:val="center"/>
              <w:rPr>
                <w:rFonts w:ascii="Arial" w:hAnsi="Arial"/>
                <w:b/>
                <w:sz w:val="22"/>
              </w:rPr>
            </w:pPr>
            <w:r>
              <w:rPr>
                <w:rFonts w:ascii="Arial" w:hAnsi="Arial"/>
                <w:b/>
                <w:sz w:val="22"/>
              </w:rPr>
              <w:t>Fund Value Review</w:t>
            </w:r>
            <w:bookmarkStart w:id="11" w:name="TPCSecureIncomeFundDetails"/>
            <w:bookmarkEnd w:id="11"/>
          </w:p>
        </w:tc>
      </w:tr>
      <w:tr w:rsidR="0018642D" w14:paraId="4B8FF904" w14:textId="77777777">
        <w:trPr>
          <w:cantSplit/>
        </w:trPr>
        <w:tc>
          <w:tcPr>
            <w:tcW w:w="2410" w:type="dxa"/>
            <w:tcBorders>
              <w:top w:val="single" w:sz="4" w:space="0" w:color="auto"/>
              <w:left w:val="single" w:sz="4" w:space="0" w:color="auto"/>
              <w:bottom w:val="single" w:sz="4" w:space="0" w:color="auto"/>
              <w:right w:val="single" w:sz="4" w:space="0" w:color="auto"/>
            </w:tcBorders>
          </w:tcPr>
          <w:p w14:paraId="551CE363" w14:textId="77777777" w:rsidR="0018642D" w:rsidRDefault="00587312">
            <w:pPr>
              <w:keepNext/>
              <w:keepLines/>
              <w:widowControl w:val="0"/>
              <w:rPr>
                <w:rFonts w:ascii="Arial" w:hAnsi="Arial"/>
                <w:sz w:val="22"/>
              </w:rPr>
            </w:pPr>
            <w:r>
              <w:rPr>
                <w:rFonts w:ascii="Arial" w:hAnsi="Arial"/>
                <w:sz w:val="22"/>
              </w:rPr>
              <w:t>MetLife Managed Wealth Portfolio - Fdn Secure Income Option</w:t>
            </w:r>
          </w:p>
        </w:tc>
        <w:tc>
          <w:tcPr>
            <w:tcW w:w="2694" w:type="dxa"/>
            <w:tcBorders>
              <w:top w:val="single" w:sz="4" w:space="0" w:color="auto"/>
              <w:left w:val="single" w:sz="4" w:space="0" w:color="auto"/>
              <w:bottom w:val="single" w:sz="4" w:space="0" w:color="auto"/>
              <w:right w:val="single" w:sz="4" w:space="0" w:color="auto"/>
            </w:tcBorders>
          </w:tcPr>
          <w:p w14:paraId="504C36D6" w14:textId="77777777" w:rsidR="0018642D" w:rsidRDefault="00587312">
            <w:pPr>
              <w:keepNext/>
              <w:keepLines/>
              <w:widowControl w:val="0"/>
              <w:jc w:val="center"/>
              <w:rPr>
                <w:rFonts w:ascii="Arial" w:hAnsi="Arial"/>
                <w:sz w:val="22"/>
              </w:rPr>
            </w:pPr>
            <w:r>
              <w:rPr>
                <w:rFonts w:ascii="Arial" w:hAnsi="Arial"/>
                <w:sz w:val="22"/>
              </w:rPr>
              <w:t>£479,077.09</w:t>
            </w:r>
          </w:p>
        </w:tc>
        <w:tc>
          <w:tcPr>
            <w:tcW w:w="3118" w:type="dxa"/>
            <w:tcBorders>
              <w:top w:val="single" w:sz="4" w:space="0" w:color="auto"/>
              <w:left w:val="single" w:sz="4" w:space="0" w:color="auto"/>
              <w:bottom w:val="single" w:sz="4" w:space="0" w:color="auto"/>
              <w:right w:val="single" w:sz="4" w:space="0" w:color="auto"/>
            </w:tcBorders>
          </w:tcPr>
          <w:p w14:paraId="16E0A2D6" w14:textId="77777777" w:rsidR="0018642D" w:rsidRDefault="00587312">
            <w:pPr>
              <w:keepNext/>
              <w:keepLines/>
              <w:widowControl w:val="0"/>
              <w:jc w:val="center"/>
              <w:rPr>
                <w:rFonts w:ascii="Arial" w:hAnsi="Arial"/>
                <w:sz w:val="22"/>
              </w:rPr>
            </w:pPr>
            <w:r>
              <w:rPr>
                <w:rFonts w:ascii="Arial" w:hAnsi="Arial"/>
                <w:sz w:val="22"/>
              </w:rPr>
              <w:t>£27,467.50</w:t>
            </w:r>
          </w:p>
        </w:tc>
        <w:tc>
          <w:tcPr>
            <w:tcW w:w="1418" w:type="dxa"/>
            <w:tcBorders>
              <w:top w:val="single" w:sz="4" w:space="0" w:color="auto"/>
              <w:left w:val="single" w:sz="4" w:space="0" w:color="auto"/>
              <w:bottom w:val="single" w:sz="4" w:space="0" w:color="auto"/>
              <w:right w:val="single" w:sz="4" w:space="0" w:color="auto"/>
            </w:tcBorders>
          </w:tcPr>
          <w:p w14:paraId="42D39F38" w14:textId="77777777" w:rsidR="0018642D" w:rsidRDefault="00587312">
            <w:pPr>
              <w:keepNext/>
              <w:keepLines/>
              <w:widowControl w:val="0"/>
              <w:jc w:val="center"/>
              <w:rPr>
                <w:rFonts w:ascii="Arial" w:hAnsi="Arial"/>
                <w:sz w:val="22"/>
              </w:rPr>
            </w:pPr>
            <w:r>
              <w:rPr>
                <w:rFonts w:ascii="Arial" w:hAnsi="Arial"/>
                <w:sz w:val="22"/>
              </w:rPr>
              <w:t>Yearly Uncapped</w:t>
            </w:r>
          </w:p>
        </w:tc>
      </w:tr>
    </w:tbl>
    <w:p w14:paraId="6D50E7D7" w14:textId="77777777" w:rsidR="0018642D" w:rsidRDefault="0018642D">
      <w:pPr>
        <w:rPr>
          <w:rFonts w:ascii="Arial" w:hAnsi="Arial"/>
          <w:sz w:val="22"/>
        </w:rPr>
      </w:pPr>
    </w:p>
    <w:p w14:paraId="53DB17B1" w14:textId="77777777" w:rsidR="0018642D" w:rsidRDefault="0018642D">
      <w:pPr>
        <w:rPr>
          <w:rFonts w:ascii="Arial" w:hAnsi="Arial"/>
          <w:sz w:val="22"/>
        </w:rPr>
      </w:pPr>
    </w:p>
    <w:p w14:paraId="1728D36B" w14:textId="77777777" w:rsidR="0018642D" w:rsidRDefault="0018642D">
      <w:pPr>
        <w:rPr>
          <w:rFonts w:ascii="Arial" w:hAnsi="Arial"/>
          <w:sz w:val="22"/>
        </w:rPr>
      </w:pPr>
    </w:p>
    <w:p w14:paraId="14437BDA" w14:textId="0206E0E8" w:rsidR="0018642D" w:rsidRDefault="00456339">
      <w:pPr>
        <w:rPr>
          <w:rFonts w:ascii="Arial" w:hAnsi="Arial"/>
          <w:sz w:val="22"/>
        </w:rPr>
      </w:pPr>
      <w:r>
        <w:rPr>
          <w:rFonts w:ascii="Arial" w:hAnsi="Arial"/>
          <w:noProof/>
          <w:sz w:val="22"/>
        </w:rPr>
        <mc:AlternateContent>
          <mc:Choice Requires="wps">
            <w:drawing>
              <wp:anchor distT="0" distB="0" distL="114300" distR="114300" simplePos="0" relativeHeight="251658240" behindDoc="0" locked="0" layoutInCell="1" allowOverlap="1" wp14:anchorId="327B0B9C" wp14:editId="5FB01AF4">
                <wp:simplePos x="0" y="0"/>
                <wp:positionH relativeFrom="column">
                  <wp:posOffset>-640715</wp:posOffset>
                </wp:positionH>
                <wp:positionV relativeFrom="paragraph">
                  <wp:posOffset>1612900</wp:posOffset>
                </wp:positionV>
                <wp:extent cx="285750" cy="11512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15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C6B5F" w14:textId="77777777" w:rsidR="00587312" w:rsidRPr="00587312" w:rsidRDefault="00587312">
                            <w:pPr>
                              <w:rPr>
                                <w:rFonts w:ascii="Pru Sans Normal" w:hAnsi="Pru Sans Normal"/>
                                <w:color w:val="808080"/>
                                <w:sz w:val="16"/>
                              </w:rPr>
                            </w:pPr>
                            <w:r>
                              <w:rPr>
                                <w:rFonts w:ascii="Pru Sans Normal" w:hAnsi="Pru Sans Normal"/>
                                <w:color w:val="808080"/>
                                <w:sz w:val="16"/>
                              </w:rPr>
                              <w:t>61102876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B0B9C" id="_x0000_t202" coordsize="21600,21600" o:spt="202" path="m,l,21600r21600,l21600,xe">
                <v:stroke joinstyle="miter"/>
                <v:path gradientshapeok="t" o:connecttype="rect"/>
              </v:shapetype>
              <v:shape id="Text Box 2" o:spid="_x0000_s1026" type="#_x0000_t202" style="position:absolute;margin-left:-50.45pt;margin-top:127pt;width:22.5pt;height:9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" stroked="f">
                <v:textbox style="layout-flow:vertical;mso-layout-flow-alt:bottom-to-top">
                  <w:txbxContent>
                    <w:p w14:paraId="08DC6B5F" w14:textId="77777777" w:rsidR="00587312" w:rsidRPr="00587312" w:rsidRDefault="00587312">
                      <w:pPr>
                        <w:rPr>
                          <w:rFonts w:ascii="Pru Sans Normal" w:hAnsi="Pru Sans Normal"/>
                          <w:color w:val="808080"/>
                          <w:sz w:val="16"/>
                        </w:rPr>
                      </w:pPr>
                      <w:r>
                        <w:rPr>
                          <w:rFonts w:ascii="Pru Sans Normal" w:hAnsi="Pru Sans Normal"/>
                          <w:color w:val="808080"/>
                          <w:sz w:val="16"/>
                        </w:rPr>
                        <w:t>61102876</w:t>
                      </w:r>
                    </w:p>
                  </w:txbxContent>
                </v:textbox>
              </v:shape>
            </w:pict>
          </mc:Fallback>
        </mc:AlternateContent>
      </w:r>
    </w:p>
    <w:tbl>
      <w:tblPr>
        <w:tblW w:w="0" w:type="auto"/>
        <w:tblInd w:w="-34" w:type="dxa"/>
        <w:tblLayout w:type="fixed"/>
        <w:tblLook w:val="0000" w:firstRow="0" w:lastRow="0" w:firstColumn="0" w:lastColumn="0" w:noHBand="0" w:noVBand="0"/>
      </w:tblPr>
      <w:tblGrid>
        <w:gridCol w:w="426"/>
        <w:gridCol w:w="9355"/>
      </w:tblGrid>
      <w:tr w:rsidR="0018642D" w14:paraId="25F126A5" w14:textId="77777777" w:rsidTr="006040E1">
        <w:trPr>
          <w:cantSplit/>
          <w:trHeight w:val="255"/>
        </w:trPr>
        <w:tc>
          <w:tcPr>
            <w:tcW w:w="9781" w:type="dxa"/>
            <w:gridSpan w:val="2"/>
          </w:tcPr>
          <w:p w14:paraId="7BF314B6" w14:textId="77777777" w:rsidR="0018642D" w:rsidRDefault="002E19BD">
            <w:pPr>
              <w:pStyle w:val="Heading2"/>
              <w:rPr>
                <w:rFonts w:ascii="Arial" w:hAnsi="Arial"/>
              </w:rPr>
            </w:pPr>
            <w:r>
              <w:rPr>
                <w:rFonts w:ascii="Arial" w:hAnsi="Arial"/>
              </w:rPr>
              <w:lastRenderedPageBreak/>
              <w:t>Notes</w:t>
            </w:r>
          </w:p>
          <w:p w14:paraId="376E8500" w14:textId="77777777" w:rsidR="0018642D" w:rsidRDefault="0018642D">
            <w:pPr>
              <w:keepNext/>
              <w:keepLines/>
              <w:rPr>
                <w:rFonts w:ascii="Arial" w:hAnsi="Arial"/>
                <w:b/>
                <w:sz w:val="22"/>
              </w:rPr>
            </w:pPr>
          </w:p>
        </w:tc>
      </w:tr>
      <w:tr w:rsidR="0018642D" w14:paraId="27DE7E72" w14:textId="77777777" w:rsidTr="006040E1">
        <w:trPr>
          <w:trHeight w:val="255"/>
        </w:trPr>
        <w:tc>
          <w:tcPr>
            <w:tcW w:w="426" w:type="dxa"/>
          </w:tcPr>
          <w:p w14:paraId="2F645305" w14:textId="77777777" w:rsidR="0018642D" w:rsidRDefault="002E19BD">
            <w:pPr>
              <w:keepNext/>
              <w:keepLines/>
              <w:rPr>
                <w:rFonts w:ascii="Arial" w:hAnsi="Arial"/>
                <w:sz w:val="22"/>
              </w:rPr>
            </w:pPr>
            <w:r>
              <w:rPr>
                <w:rFonts w:ascii="Arial" w:hAnsi="Arial"/>
                <w:sz w:val="22"/>
              </w:rPr>
              <w:t>1.</w:t>
            </w:r>
          </w:p>
        </w:tc>
        <w:tc>
          <w:tcPr>
            <w:tcW w:w="9355" w:type="dxa"/>
          </w:tcPr>
          <w:p w14:paraId="36D1C0CE" w14:textId="77777777" w:rsidR="0018642D" w:rsidRDefault="006040E1">
            <w:pPr>
              <w:keepNext/>
              <w:keepLines/>
              <w:rPr>
                <w:rFonts w:ascii="Arial" w:hAnsi="Arial"/>
                <w:sz w:val="22"/>
              </w:rPr>
            </w:pPr>
            <w:r w:rsidRPr="006040E1">
              <w:rPr>
                <w:rFonts w:ascii="Arial" w:hAnsi="Arial"/>
                <w:sz w:val="22"/>
              </w:rPr>
              <w:t>Denomination currency is pounds sterling (GBP).</w:t>
            </w:r>
          </w:p>
        </w:tc>
      </w:tr>
      <w:tr w:rsidR="0018642D" w14:paraId="7C57DE97" w14:textId="77777777" w:rsidTr="006040E1">
        <w:trPr>
          <w:trHeight w:val="255"/>
        </w:trPr>
        <w:tc>
          <w:tcPr>
            <w:tcW w:w="426" w:type="dxa"/>
          </w:tcPr>
          <w:p w14:paraId="1DA5AC90" w14:textId="77777777" w:rsidR="0018642D" w:rsidRDefault="002E19BD">
            <w:pPr>
              <w:keepNext/>
              <w:keepLines/>
              <w:rPr>
                <w:rFonts w:ascii="Arial" w:hAnsi="Arial"/>
                <w:sz w:val="22"/>
              </w:rPr>
            </w:pPr>
            <w:r>
              <w:rPr>
                <w:rFonts w:ascii="Arial" w:hAnsi="Arial"/>
                <w:sz w:val="22"/>
              </w:rPr>
              <w:t>2.</w:t>
            </w:r>
          </w:p>
        </w:tc>
        <w:tc>
          <w:tcPr>
            <w:tcW w:w="9355" w:type="dxa"/>
          </w:tcPr>
          <w:p w14:paraId="77D9DF49" w14:textId="77777777" w:rsidR="0018642D" w:rsidRDefault="002E19BD">
            <w:pPr>
              <w:keepNext/>
              <w:keepLines/>
              <w:rPr>
                <w:rFonts w:ascii="Arial" w:hAnsi="Arial"/>
                <w:sz w:val="22"/>
              </w:rPr>
            </w:pPr>
            <w:r>
              <w:rPr>
                <w:rFonts w:ascii="Arial" w:hAnsi="Arial"/>
                <w:sz w:val="22"/>
              </w:rPr>
              <w:t>This statement is for information only and does not in itself confer any rights.</w:t>
            </w:r>
          </w:p>
        </w:tc>
      </w:tr>
      <w:tr w:rsidR="0018642D" w14:paraId="540176CB" w14:textId="77777777" w:rsidTr="006040E1">
        <w:trPr>
          <w:trHeight w:val="255"/>
        </w:trPr>
        <w:tc>
          <w:tcPr>
            <w:tcW w:w="426" w:type="dxa"/>
          </w:tcPr>
          <w:p w14:paraId="5203366C" w14:textId="77777777" w:rsidR="0018642D" w:rsidRDefault="002E19BD">
            <w:pPr>
              <w:keepNext/>
              <w:keepLines/>
              <w:rPr>
                <w:rFonts w:ascii="Arial" w:hAnsi="Arial"/>
                <w:sz w:val="22"/>
              </w:rPr>
            </w:pPr>
            <w:r>
              <w:rPr>
                <w:rFonts w:ascii="Arial" w:hAnsi="Arial"/>
                <w:sz w:val="22"/>
              </w:rPr>
              <w:t>3.</w:t>
            </w:r>
          </w:p>
        </w:tc>
        <w:tc>
          <w:tcPr>
            <w:tcW w:w="9355" w:type="dxa"/>
          </w:tcPr>
          <w:p w14:paraId="604BB8E8" w14:textId="77777777" w:rsidR="0018642D" w:rsidRDefault="002E19BD">
            <w:pPr>
              <w:keepNext/>
              <w:keepLines/>
              <w:rPr>
                <w:rFonts w:ascii="Arial" w:hAnsi="Arial"/>
                <w:sz w:val="22"/>
              </w:rPr>
            </w:pPr>
            <w:r>
              <w:rPr>
                <w:rFonts w:ascii="Arial" w:hAnsi="Arial"/>
                <w:sz w:val="22"/>
              </w:rPr>
              <w:t xml:space="preserve">Future unit prices can go down as well as up. </w:t>
            </w:r>
            <w:bookmarkStart w:id="12" w:name="InsertNotes"/>
            <w:bookmarkStart w:id="13" w:name="PrintRequestId"/>
            <w:bookmarkEnd w:id="12"/>
            <w:bookmarkEnd w:id="13"/>
          </w:p>
        </w:tc>
      </w:tr>
      <w:tr w:rsidR="00587312" w14:paraId="0BB89409" w14:textId="77777777" w:rsidTr="006040E1">
        <w:trPr>
          <w:trHeight w:val="255"/>
        </w:trPr>
        <w:tc>
          <w:tcPr>
            <w:tcW w:w="426" w:type="dxa"/>
          </w:tcPr>
          <w:p w14:paraId="573733C5" w14:textId="77777777" w:rsidR="00587312" w:rsidRDefault="00587312">
            <w:pPr>
              <w:keepNext/>
              <w:keepLines/>
              <w:rPr>
                <w:rFonts w:ascii="Arial" w:hAnsi="Arial"/>
                <w:sz w:val="22"/>
              </w:rPr>
            </w:pPr>
            <w:r>
              <w:rPr>
                <w:rFonts w:ascii="Arial" w:hAnsi="Arial"/>
                <w:sz w:val="22"/>
              </w:rPr>
              <w:t>4.</w:t>
            </w:r>
          </w:p>
        </w:tc>
        <w:tc>
          <w:tcPr>
            <w:tcW w:w="9355" w:type="dxa"/>
          </w:tcPr>
          <w:p w14:paraId="7BC9E73A" w14:textId="77777777" w:rsidR="00587312" w:rsidRDefault="00587312">
            <w:pPr>
              <w:keepNext/>
              <w:keepLines/>
              <w:rPr>
                <w:rFonts w:ascii="Arial" w:hAnsi="Arial"/>
                <w:sz w:val="22"/>
              </w:rPr>
            </w:pPr>
            <w:r>
              <w:rPr>
                <w:rFonts w:ascii="Arial" w:hAnsi="Arial"/>
                <w:sz w:val="22"/>
              </w:rPr>
              <w:t>The cash in value is not guaranteed. The amount payable will be determined by the number of units held and the unit price we apply when making payment. Please refer to your Terms and Conditions for further information.</w:t>
            </w:r>
          </w:p>
        </w:tc>
      </w:tr>
      <w:tr w:rsidR="00587312" w14:paraId="640CEC8D" w14:textId="77777777" w:rsidTr="006040E1">
        <w:trPr>
          <w:trHeight w:val="255"/>
        </w:trPr>
        <w:tc>
          <w:tcPr>
            <w:tcW w:w="426" w:type="dxa"/>
          </w:tcPr>
          <w:p w14:paraId="4313C967" w14:textId="77777777" w:rsidR="00587312" w:rsidRDefault="00587312">
            <w:pPr>
              <w:keepNext/>
              <w:keepLines/>
              <w:rPr>
                <w:rFonts w:ascii="Arial" w:hAnsi="Arial"/>
                <w:sz w:val="22"/>
              </w:rPr>
            </w:pPr>
            <w:r>
              <w:rPr>
                <w:rFonts w:ascii="Arial" w:hAnsi="Arial"/>
                <w:sz w:val="22"/>
              </w:rPr>
              <w:t>5.</w:t>
            </w:r>
          </w:p>
        </w:tc>
        <w:tc>
          <w:tcPr>
            <w:tcW w:w="9355" w:type="dxa"/>
          </w:tcPr>
          <w:p w14:paraId="69224DBB" w14:textId="77777777" w:rsidR="00587312" w:rsidRDefault="00587312">
            <w:pPr>
              <w:keepNext/>
              <w:keepLines/>
              <w:rPr>
                <w:rFonts w:ascii="Arial" w:hAnsi="Arial"/>
                <w:sz w:val="22"/>
              </w:rPr>
            </w:pPr>
            <w:r>
              <w:rPr>
                <w:rFonts w:ascii="Arial" w:hAnsi="Arial"/>
                <w:sz w:val="22"/>
              </w:rPr>
              <w:t>The value of units held in the Secure Income Portfolio may  go down as well as up, but will provide a level of income (Secure Income) for as long  as a secure income life assured is alive  and a Guaranteed Death Benefit on  the death of the last surviving secure income life assured.</w:t>
            </w:r>
          </w:p>
        </w:tc>
      </w:tr>
      <w:tr w:rsidR="00587312" w14:paraId="2DACDD00" w14:textId="77777777" w:rsidTr="006040E1">
        <w:trPr>
          <w:trHeight w:val="255"/>
        </w:trPr>
        <w:tc>
          <w:tcPr>
            <w:tcW w:w="426" w:type="dxa"/>
          </w:tcPr>
          <w:p w14:paraId="5EDBD375" w14:textId="77777777" w:rsidR="00587312" w:rsidRDefault="00587312">
            <w:pPr>
              <w:keepNext/>
              <w:keepLines/>
              <w:rPr>
                <w:rFonts w:ascii="Arial" w:hAnsi="Arial"/>
                <w:sz w:val="22"/>
              </w:rPr>
            </w:pPr>
            <w:r>
              <w:rPr>
                <w:rFonts w:ascii="Arial" w:hAnsi="Arial"/>
                <w:sz w:val="22"/>
              </w:rPr>
              <w:t>6.</w:t>
            </w:r>
          </w:p>
        </w:tc>
        <w:tc>
          <w:tcPr>
            <w:tcW w:w="9355" w:type="dxa"/>
          </w:tcPr>
          <w:p w14:paraId="324C2179" w14:textId="77777777" w:rsidR="00587312" w:rsidRDefault="00587312">
            <w:pPr>
              <w:keepNext/>
              <w:keepLines/>
              <w:rPr>
                <w:rFonts w:ascii="Arial" w:hAnsi="Arial"/>
                <w:sz w:val="22"/>
              </w:rPr>
            </w:pPr>
            <w:r>
              <w:rPr>
                <w:rFonts w:ascii="Arial" w:hAnsi="Arial"/>
                <w:sz w:val="22"/>
              </w:rPr>
              <w:t>The values shown are the current levels for the Guaranteed Death Benefit and the Maximum Annual Secure Income Withdrawal.  These may increase in the future as a result of fund value lock-ins or decrease as a result of surrendering and/or switching out of the Secure Income Portfolio or Ad-Hoc Adviser Charges.</w:t>
            </w:r>
          </w:p>
        </w:tc>
      </w:tr>
    </w:tbl>
    <w:p w14:paraId="5BA70BC2" w14:textId="03E8458E" w:rsidR="0018642D" w:rsidRDefault="00456339">
      <w:pPr>
        <w:tabs>
          <w:tab w:val="left" w:pos="3402"/>
          <w:tab w:val="left" w:pos="6663"/>
        </w:tabs>
        <w:rPr>
          <w:rFonts w:ascii="Arial" w:hAnsi="Arial"/>
        </w:rPr>
      </w:pPr>
      <w:bookmarkStart w:id="14" w:name="CheckForCopy"/>
      <w:bookmarkEnd w:id="14"/>
      <w:r>
        <w:rPr>
          <w:rFonts w:ascii="Arial" w:hAnsi="Arial"/>
          <w:noProof/>
        </w:rPr>
        <mc:AlternateContent>
          <mc:Choice Requires="wps">
            <w:drawing>
              <wp:anchor distT="0" distB="0" distL="114300" distR="114300" simplePos="0" relativeHeight="251659264" behindDoc="0" locked="0" layoutInCell="1" allowOverlap="1" wp14:anchorId="35793C5C" wp14:editId="34BE4EF8">
                <wp:simplePos x="0" y="0"/>
                <wp:positionH relativeFrom="column">
                  <wp:posOffset>-640715</wp:posOffset>
                </wp:positionH>
                <wp:positionV relativeFrom="paragraph">
                  <wp:posOffset>5161915</wp:posOffset>
                </wp:positionV>
                <wp:extent cx="285750" cy="11512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15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E706A" w14:textId="77777777" w:rsidR="00587312" w:rsidRPr="00587312" w:rsidRDefault="00587312">
                            <w:pPr>
                              <w:rPr>
                                <w:rFonts w:ascii="Pru Sans Normal" w:hAnsi="Pru Sans Normal"/>
                                <w:color w:val="808080"/>
                                <w:sz w:val="16"/>
                              </w:rPr>
                            </w:pPr>
                            <w:r>
                              <w:rPr>
                                <w:rFonts w:ascii="Pru Sans Normal" w:hAnsi="Pru Sans Normal"/>
                                <w:color w:val="808080"/>
                                <w:sz w:val="16"/>
                              </w:rPr>
                              <w:t>61102876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93C5C" id="Text Box 3" o:spid="_x0000_s1027" type="#_x0000_t202" style="position:absolute;margin-left:-50.45pt;margin-top:406.45pt;width:22.5pt;height:9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" stroked="f">
                <v:textbox style="layout-flow:vertical;mso-layout-flow-alt:bottom-to-top">
                  <w:txbxContent>
                    <w:p w14:paraId="789E706A" w14:textId="77777777" w:rsidR="00587312" w:rsidRPr="00587312" w:rsidRDefault="00587312">
                      <w:pPr>
                        <w:rPr>
                          <w:rFonts w:ascii="Pru Sans Normal" w:hAnsi="Pru Sans Normal"/>
                          <w:color w:val="808080"/>
                          <w:sz w:val="16"/>
                        </w:rPr>
                      </w:pPr>
                      <w:r>
                        <w:rPr>
                          <w:rFonts w:ascii="Pru Sans Normal" w:hAnsi="Pru Sans Normal"/>
                          <w:color w:val="808080"/>
                          <w:sz w:val="16"/>
                        </w:rPr>
                        <w:t>61102876</w:t>
                      </w:r>
                    </w:p>
                  </w:txbxContent>
                </v:textbox>
              </v:shape>
            </w:pict>
          </mc:Fallback>
        </mc:AlternateContent>
      </w:r>
      <w:r w:rsidR="002E19BD">
        <w:rPr>
          <w:rFonts w:ascii="Arial" w:hAnsi="Arial"/>
        </w:rPr>
        <w:tab/>
      </w:r>
    </w:p>
    <w:sectPr w:rsidR="0018642D" w:rsidSect="00587312">
      <w:headerReference w:type="default" r:id="rId7"/>
      <w:headerReference w:type="first" r:id="rId8"/>
      <w:type w:val="continuous"/>
      <w:pgSz w:w="11907" w:h="16840" w:code="9"/>
      <w:pgMar w:top="2410" w:right="1259" w:bottom="720" w:left="1259" w:header="1134" w:footer="7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A55B9" w14:textId="77777777" w:rsidR="00587312" w:rsidRDefault="00587312">
      <w:r>
        <w:separator/>
      </w:r>
    </w:p>
  </w:endnote>
  <w:endnote w:type="continuationSeparator" w:id="0">
    <w:p w14:paraId="0674FD4F" w14:textId="77777777" w:rsidR="00587312" w:rsidRDefault="0058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u Sans Normal">
    <w:altName w:val="Calibri"/>
    <w:charset w:val="00"/>
    <w:family w:val="auto"/>
    <w:pitch w:val="variable"/>
    <w:sig w:usb0="80000027" w:usb1="000018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D635A" w14:textId="77777777" w:rsidR="00587312" w:rsidRDefault="00587312">
      <w:r>
        <w:separator/>
      </w:r>
    </w:p>
  </w:footnote>
  <w:footnote w:type="continuationSeparator" w:id="0">
    <w:p w14:paraId="1EC69ADE" w14:textId="77777777" w:rsidR="00587312" w:rsidRDefault="00587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FD578" w14:textId="5882D1E9" w:rsidR="00587312" w:rsidRDefault="00456339" w:rsidP="00587312">
    <w:pPr>
      <w:framePr w:hSpace="180" w:wrap="around" w:vAnchor="page" w:hAnchor="page" w:x="7824" w:y="1248"/>
    </w:pPr>
    <w:r>
      <w:rPr>
        <w:noProof/>
      </w:rPr>
      <w:drawing>
        <wp:inline distT="0" distB="0" distL="0" distR="0" wp14:anchorId="0A66F14D" wp14:editId="7A20D470">
          <wp:extent cx="1295400" cy="27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14:paraId="6AED2AE4" w14:textId="77777777" w:rsidR="00587312" w:rsidRDefault="00587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989DD" w14:textId="557B1D85" w:rsidR="00587312" w:rsidRDefault="00456339" w:rsidP="00587312">
    <w:pPr>
      <w:framePr w:hSpace="180" w:wrap="around" w:vAnchor="page" w:hAnchor="page" w:x="7824" w:y="1248"/>
    </w:pPr>
    <w:r>
      <w:rPr>
        <w:noProof/>
      </w:rPr>
      <w:drawing>
        <wp:inline distT="0" distB="0" distL="0" distR="0" wp14:anchorId="2A43DF5B" wp14:editId="2D5CA037">
          <wp:extent cx="1295400"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14:paraId="54EAC48B" w14:textId="77777777" w:rsidR="00587312" w:rsidRDefault="00587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97439"/>
    <w:multiLevelType w:val="multilevel"/>
    <w:tmpl w:val="FBB8504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48E0D40"/>
    <w:multiLevelType w:val="singleLevel"/>
    <w:tmpl w:val="F4945C3C"/>
    <w:lvl w:ilvl="0">
      <w:start w:val="4"/>
      <w:numFmt w:val="decimal"/>
      <w:lvlText w:val="%1."/>
      <w:lvlJc w:val="left"/>
      <w:pPr>
        <w:tabs>
          <w:tab w:val="num" w:pos="3"/>
        </w:tabs>
        <w:ind w:left="3" w:hanging="57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312"/>
    <w:rsid w:val="0018642D"/>
    <w:rsid w:val="002E19BD"/>
    <w:rsid w:val="003E30C0"/>
    <w:rsid w:val="00456339"/>
    <w:rsid w:val="00587312"/>
    <w:rsid w:val="006040E1"/>
    <w:rsid w:val="006D24F6"/>
    <w:rsid w:val="00C24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C1E6F1E"/>
  <w15:chartTrackingRefBased/>
  <w15:docId w15:val="{3F979315-35E8-48FA-963A-AC9DD4C8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Times New Roman" w:hAnsi="CG Times (W1)"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right"/>
      <w:outlineLvl w:val="0"/>
    </w:pPr>
    <w:rPr>
      <w:rFonts w:ascii="Times New Roman" w:hAnsi="Times New Roman"/>
      <w:b/>
    </w:rPr>
  </w:style>
  <w:style w:type="paragraph" w:styleId="Heading2">
    <w:name w:val="heading 2"/>
    <w:basedOn w:val="Normal"/>
    <w:next w:val="Normal"/>
    <w:qFormat/>
    <w:pPr>
      <w:keepNext/>
      <w:keepLines/>
      <w:outlineLvl w:val="1"/>
    </w:pPr>
    <w:rPr>
      <w:rFonts w:ascii="Times New Roman" w:hAnsi="Times New Roman"/>
      <w:b/>
      <w:sz w:val="22"/>
      <w:u w:val="single"/>
    </w:rPr>
  </w:style>
  <w:style w:type="paragraph" w:styleId="Heading3">
    <w:name w:val="heading 3"/>
    <w:basedOn w:val="Normal"/>
    <w:next w:val="NormalIndent"/>
    <w:qFormat/>
    <w:pPr>
      <w:spacing w:line="240" w:lineRule="atLeast"/>
      <w:outlineLvl w:val="2"/>
    </w:pPr>
    <w:rPr>
      <w:rFonts w:ascii="Univers (W1)" w:hAnsi="Univers (W1)"/>
      <w:b/>
      <w:sz w:val="24"/>
      <w:u w:val="single"/>
    </w:rPr>
  </w:style>
  <w:style w:type="paragraph" w:styleId="Heading4">
    <w:name w:val="heading 4"/>
    <w:basedOn w:val="Normal"/>
    <w:next w:val="Normal"/>
    <w:qFormat/>
    <w:pPr>
      <w:keepNext/>
      <w:outlineLvl w:val="3"/>
    </w:pPr>
    <w:rPr>
      <w:rFonts w:ascii="Times New Roman" w:hAnsi="Times New Roman"/>
      <w:b/>
      <w:sz w:val="22"/>
    </w:rPr>
  </w:style>
  <w:style w:type="paragraph" w:styleId="Heading5">
    <w:name w:val="heading 5"/>
    <w:basedOn w:val="Normal"/>
    <w:next w:val="Normal"/>
    <w:qFormat/>
    <w:pPr>
      <w:keepNext/>
      <w:keepLines/>
      <w:widowControl w:val="0"/>
      <w:outlineLvl w:val="4"/>
    </w:pPr>
    <w:rPr>
      <w:b/>
    </w:rPr>
  </w:style>
  <w:style w:type="paragraph" w:styleId="Heading6">
    <w:name w:val="heading 6"/>
    <w:basedOn w:val="Normal"/>
    <w:next w:val="Normal"/>
    <w:qFormat/>
    <w:pPr>
      <w:keepNext/>
      <w:jc w:val="center"/>
      <w:outlineLvl w:val="5"/>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Footer">
    <w:name w:val="footer"/>
    <w:basedOn w:val="Normal"/>
    <w:semiHidden/>
    <w:pPr>
      <w:tabs>
        <w:tab w:val="center" w:pos="4819"/>
        <w:tab w:val="right" w:pos="9071"/>
      </w:tabs>
    </w:pPr>
  </w:style>
  <w:style w:type="paragraph" w:styleId="Header">
    <w:name w:val="header"/>
    <w:basedOn w:val="Normal"/>
    <w:semiHidden/>
    <w:pPr>
      <w:tabs>
        <w:tab w:val="center" w:pos="4819"/>
        <w:tab w:val="right" w:pos="9071"/>
      </w:tabs>
    </w:pPr>
  </w:style>
  <w:style w:type="paragraph" w:styleId="BodyText2">
    <w:name w:val="Body Text 2"/>
    <w:basedOn w:val="Normal"/>
    <w:semiHidden/>
    <w:pPr>
      <w:jc w:val="center"/>
    </w:pPr>
    <w:rPr>
      <w:rFonts w:ascii="Arial" w:hAnsi="Arial"/>
      <w:sz w:val="12"/>
      <w:lang w:val="en-IE"/>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Nominal Unit Statement for Fully Invested RP &amp; SP Plans</vt:lpstr>
    </vt:vector>
  </TitlesOfParts>
  <Company>Scottish Amicable</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Nominal Unit Statement for Fully Invested RP &amp; SP Plans</dc:title>
  <dc:subject/>
  <dc:creator>Documents Server account</dc:creator>
  <cp:keywords>Brid</cp:keywords>
  <dc:description/>
  <cp:lastModifiedBy>White, Genevieve (SS&amp;C)</cp:lastModifiedBy>
  <cp:revision>2</cp:revision>
  <cp:lastPrinted>2002-05-24T15:25:00Z</cp:lastPrinted>
  <dcterms:created xsi:type="dcterms:W3CDTF">2021-10-19T08:21:00Z</dcterms:created>
  <dcterms:modified xsi:type="dcterms:W3CDTF">2021-10-19T08:21:00Z</dcterms:modified>
</cp:coreProperties>
</file>