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Paula Wingate SSAS</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Paula Jane Wingate</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Joanne Wingate</w:t>
      </w:r>
      <w:r w:rsidDel="00000000" w:rsidR="00000000" w:rsidRPr="00000000">
        <w:rPr>
          <w:rFonts w:ascii="Arial" w:cs="Arial" w:eastAsia="Arial" w:hAnsi="Arial"/>
          <w:rtl w:val="0"/>
        </w:rPr>
        <w:t xml:space="preserve"> acting as Trustees of Paula Wingate SSAS both of 6 Redwood Crescent, Cambuslang, Glasgow, G72 7FY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Paula Jane Wingate</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Joanne Wingate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zPTOOLWbwg5VzbqiM+3p7fa2g==">AMUW2mVVk89+JdRBd+PzOBGBpO3FfhVgOMbIyy1EmEXDCg4cUXB5trgHzdAyU1Nuw51EkMuG+YP5tbq6E9jVmzw/Pbf+g1/ubccGcllYU6ZuanAAo8wiPMjEQk8Q54dT9smV7JGlbrkQ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