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2"/>
      <w:bookmarkEnd w:id="2"/>
      <w:r w:rsidDel="00000000" w:rsidR="00000000" w:rsidRPr="00000000">
        <w:rPr>
          <w:rFonts w:ascii="Arial" w:cs="Arial" w:eastAsia="Arial" w:hAnsi="Arial"/>
          <w:color w:val="0b0c0c"/>
          <w:rtl w:val="0"/>
        </w:rPr>
        <w:t xml:space="preserve">Carly Retta Passmore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ab/>
        <w:t xml:space="preserve">The Coach House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Cranhams Lane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Cirencester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rtl w:val="0"/>
        </w:rPr>
        <w:t xml:space="preserve">Gloucestershire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color w:val="0b0c0c"/>
          <w:rtl w:val="0"/>
        </w:rPr>
        <w:t xml:space="preserve">GL7 1TZ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znysh7" w:id="3"/>
      <w:bookmarkEnd w:id="3"/>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b0c0c"/>
          <w:rtl w:val="0"/>
        </w:rPr>
        <w:t xml:space="preserve">Carly Retta Passmore</w:t>
      </w:r>
      <w:r w:rsidDel="00000000" w:rsidR="00000000" w:rsidRPr="00000000">
        <w:rPr>
          <w:rFonts w:ascii="Arial" w:cs="Arial" w:eastAsia="Arial" w:hAnsi="Arial"/>
          <w:color w:val="000000"/>
          <w:rtl w:val="0"/>
        </w:rPr>
        <w:br w:type="textWrapping"/>
        <w:br w:type="textWrapping"/>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Carly,</w:t>
      </w:r>
    </w:p>
    <w:p w:rsidR="00000000" w:rsidDel="00000000" w:rsidP="00000000" w:rsidRDefault="00000000" w:rsidRPr="00000000" w14:paraId="0000000F">
      <w:pPr>
        <w:rPr>
          <w:rFonts w:ascii="Arial" w:cs="Arial" w:eastAsia="Arial" w:hAnsi="Arial"/>
          <w:color w:val="000000"/>
        </w:rPr>
      </w:pPr>
      <w:r w:rsidDel="00000000" w:rsidR="00000000" w:rsidRPr="00000000">
        <w:rPr>
          <w:rFonts w:ascii="Arial" w:cs="Arial" w:eastAsia="Arial" w:hAnsi="Arial"/>
          <w:color w:val="222222"/>
          <w:rtl w:val="0"/>
        </w:rPr>
        <w:t xml:space="preserve">Passmore &amp; Trustees Pension Scheme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4"/>
      <w:bookmarkEnd w:id="4"/>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EjitaNdEADA4N6w+GrrsJ+JZNw==">AMUW2mXhXRAl9w3cV+6wKCzijs6yAL9ZU8GK4SCNaq4UmyM3o1Uflo1bQQC1q9l71XikLCzy8u08HDtp+z1LwhCS86/cxp2/XfWeR5BtMV/DofTQtqqYcrDuBHHXfBCBEizO9Z+9YmyolGhW1Jjr3AbaOTfhjTcAQQX6HkW8OXCCXGP2rR7YBGjhVmH2tIxfIbOfWvmTEbP0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2021-06-04T13:20:00Z</dcterms:created>
  <dc:creator>Shelly</dc:creator>
</cp:coreProperties>
</file>