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Micron Precision (Brixworth) Engineering Limited 1996 Executive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Micron Precision (Brixworth) Engineering Limited </w:t>
      </w:r>
      <w:r w:rsidDel="00000000" w:rsidR="00000000" w:rsidRPr="00000000">
        <w:rPr>
          <w:rFonts w:ascii="Times New Roman" w:cs="Times New Roman" w:eastAsia="Times New Roman" w:hAnsi="Times New Roman"/>
          <w:color w:val="000000"/>
          <w:sz w:val="24"/>
          <w:szCs w:val="24"/>
          <w:rtl w:val="0"/>
        </w:rPr>
        <w:t xml:space="preserve">(Company No 02870074) whose registered office is situated at Unit B Saxon Fields, Old Harborough Road, Brixworth, Northamptonshire, NN6 9BX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Susan Jennifer Stevens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Malcolm Cyril Stevens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Emma Jayne Stevens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of Chestnut House, 2 Eden Court, Watford Village, Northampton, NN6 7UW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Micron Precision (Brixworth) Engineering Limited 1996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Definitive Trust Deed and Rules dated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2006 and is currently governed by Rules adopted by a Trust Deed Adopting Replacement Provisions dated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July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current member trustees of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Adopting Replacement Provisions 5th July 2012</w:t>
      </w:r>
    </w:p>
    <w:p w:rsidR="00000000" w:rsidDel="00000000" w:rsidP="00000000" w:rsidRDefault="00000000" w:rsidRPr="00000000" w14:paraId="00000042">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4">
      <w:pPr>
        <w:spacing w:before="122" w:lineRule="auto"/>
        <w:ind w:left="1560" w:right="-567"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Micron Precision (Brixworth) Engineering Limited 1996 Executive Pension Scheme</w:t>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7"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with the consent of the Trustees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Micron Precision (Brixworth) Engineering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3">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ind w:lef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Susan Jennifer Stevens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9">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F">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ind w:lef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Malcolm Cyril Stevens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1">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5">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9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A">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ind w:left="142" w:firstLine="0"/>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Emma Jayne Stevens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C">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E">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F">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A0">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rNd2mZc4gVfHihHFumxjkw6vQ==">AMUW2mWKHbSQuSPaxbN8zwdiaXOGdXQIrnks33d//o1Vq4kGtiajY14t6CID2NeNmvEz6MkRk3GmMefpsb+dDS/QJ4uF8R9SkP1rxWamxzd+UEpFskD4z82Hh7L+oGQDY+cnZdQMRUYlgSEbfqzTtd4Q/MbfN6dmNw==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2021-08-10T10:29:00Z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