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97" w:rsidRDefault="00165497" w:rsidP="00165497">
      <w:pPr>
        <w:autoSpaceDE w:val="0"/>
        <w:autoSpaceDN w:val="0"/>
        <w:adjustRightInd w:val="0"/>
        <w:spacing w:after="0" w:line="240" w:lineRule="auto"/>
        <w:rPr>
          <w:rFonts w:ascii="Helvetica-Bold" w:hAnsi="Helvetica-Bold" w:cs="Helvetica-Bold"/>
          <w:b/>
          <w:bCs/>
          <w:color w:val="000000"/>
          <w:sz w:val="28"/>
          <w:szCs w:val="28"/>
        </w:rPr>
      </w:pPr>
    </w:p>
    <w:p w:rsidR="00165497" w:rsidRDefault="00165497" w:rsidP="00165497">
      <w:pPr>
        <w:autoSpaceDE w:val="0"/>
        <w:autoSpaceDN w:val="0"/>
        <w:adjustRightInd w:val="0"/>
        <w:spacing w:after="0" w:line="240" w:lineRule="auto"/>
        <w:rPr>
          <w:rFonts w:ascii="Helvetica-Bold" w:hAnsi="Helvetica-Bold" w:cs="Helvetica-Bold"/>
          <w:b/>
          <w:bCs/>
          <w:color w:val="000000"/>
          <w:sz w:val="28"/>
          <w:szCs w:val="28"/>
        </w:rPr>
      </w:pPr>
    </w:p>
    <w:p w:rsidR="00165497" w:rsidRDefault="005763F9" w:rsidP="00165497">
      <w:pPr>
        <w:autoSpaceDE w:val="0"/>
        <w:autoSpaceDN w:val="0"/>
        <w:adjustRightInd w:val="0"/>
        <w:spacing w:after="0" w:line="240" w:lineRule="auto"/>
        <w:rPr>
          <w:rFonts w:ascii="Helvetica-Bold" w:hAnsi="Helvetica-Bold" w:cs="Helvetica-Bold"/>
          <w:b/>
          <w:bCs/>
          <w:color w:val="000000"/>
          <w:sz w:val="28"/>
          <w:szCs w:val="28"/>
        </w:rPr>
      </w:pPr>
      <w:r>
        <w:rPr>
          <w:noProof/>
          <w:lang w:eastAsia="en-GB"/>
        </w:rPr>
        <w:drawing>
          <wp:inline distT="0" distB="0" distL="0" distR="0">
            <wp:extent cx="816610" cy="571627"/>
            <wp:effectExtent l="19050" t="0" r="2540" b="0"/>
            <wp:docPr id="1" name="Picture 1" descr="http://images.vector-images.com/192/para_state_fl_n4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vector-images.com/192/para_state_fl_n4806.gif"/>
                    <pic:cNvPicPr>
                      <a:picLocks noChangeAspect="1" noChangeArrowheads="1"/>
                    </pic:cNvPicPr>
                  </pic:nvPicPr>
                  <pic:blipFill>
                    <a:blip r:embed="rId4" cstate="print"/>
                    <a:srcRect/>
                    <a:stretch>
                      <a:fillRect/>
                    </a:stretch>
                  </pic:blipFill>
                  <pic:spPr bwMode="auto">
                    <a:xfrm>
                      <a:off x="0" y="0"/>
                      <a:ext cx="817353" cy="572147"/>
                    </a:xfrm>
                    <a:prstGeom prst="rect">
                      <a:avLst/>
                    </a:prstGeom>
                    <a:noFill/>
                    <a:ln w="9525">
                      <a:noFill/>
                      <a:miter lim="800000"/>
                      <a:headEnd/>
                      <a:tailEnd/>
                    </a:ln>
                  </pic:spPr>
                </pic:pic>
              </a:graphicData>
            </a:graphic>
          </wp:inline>
        </w:drawing>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color w:val="000000"/>
          <w:sz w:val="28"/>
          <w:szCs w:val="28"/>
        </w:rPr>
        <w:tab/>
      </w:r>
      <w:r>
        <w:rPr>
          <w:rFonts w:ascii="Helvetica-Bold" w:hAnsi="Helvetica-Bold" w:cs="Helvetica-Bold"/>
          <w:b/>
          <w:bCs/>
          <w:noProof/>
          <w:color w:val="000000"/>
          <w:sz w:val="28"/>
          <w:szCs w:val="28"/>
          <w:lang w:eastAsia="en-GB"/>
        </w:rPr>
        <w:drawing>
          <wp:inline distT="0" distB="0" distL="0" distR="0">
            <wp:extent cx="1982436" cy="628642"/>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987715" cy="630316"/>
                    </a:xfrm>
                    <a:prstGeom prst="rect">
                      <a:avLst/>
                    </a:prstGeom>
                    <a:noFill/>
                    <a:ln w="9525">
                      <a:noFill/>
                      <a:miter lim="800000"/>
                      <a:headEnd/>
                      <a:tailEnd/>
                    </a:ln>
                  </pic:spPr>
                </pic:pic>
              </a:graphicData>
            </a:graphic>
          </wp:inline>
        </w:drawing>
      </w:r>
    </w:p>
    <w:p w:rsidR="00BD60A0" w:rsidRDefault="00BD60A0" w:rsidP="00165497">
      <w:pPr>
        <w:autoSpaceDE w:val="0"/>
        <w:autoSpaceDN w:val="0"/>
        <w:adjustRightInd w:val="0"/>
        <w:spacing w:after="0" w:line="240" w:lineRule="auto"/>
        <w:rPr>
          <w:rFonts w:ascii="Helvetica-Bold" w:hAnsi="Helvetica-Bold" w:cs="Helvetica-Bold"/>
          <w:b/>
          <w:bCs/>
          <w:color w:val="000000"/>
          <w:sz w:val="28"/>
          <w:szCs w:val="28"/>
        </w:rPr>
      </w:pPr>
    </w:p>
    <w:p w:rsidR="00165497" w:rsidRPr="00BD60A0" w:rsidRDefault="00165497" w:rsidP="00165497">
      <w:pPr>
        <w:autoSpaceDE w:val="0"/>
        <w:autoSpaceDN w:val="0"/>
        <w:adjustRightInd w:val="0"/>
        <w:spacing w:after="0" w:line="240" w:lineRule="auto"/>
        <w:rPr>
          <w:rFonts w:cs="Helvetica-Bold"/>
          <w:bCs/>
          <w:color w:val="000000"/>
          <w:sz w:val="28"/>
          <w:szCs w:val="28"/>
        </w:rPr>
      </w:pPr>
      <w:r w:rsidRPr="00BD60A0">
        <w:rPr>
          <w:rFonts w:cs="Helvetica-Bold"/>
          <w:bCs/>
          <w:color w:val="000000"/>
          <w:sz w:val="28"/>
          <w:szCs w:val="28"/>
        </w:rPr>
        <w:t>Forestry Projects: Factsheet</w:t>
      </w:r>
    </w:p>
    <w:p w:rsidR="00BD60A0" w:rsidRDefault="00BD60A0" w:rsidP="00165497">
      <w:pPr>
        <w:autoSpaceDE w:val="0"/>
        <w:autoSpaceDN w:val="0"/>
        <w:adjustRightInd w:val="0"/>
        <w:spacing w:after="0" w:line="240" w:lineRule="auto"/>
        <w:rPr>
          <w:rFonts w:cs="Arial-BoldMT"/>
          <w:bCs/>
          <w:color w:val="6D6D6D"/>
          <w:sz w:val="20"/>
          <w:szCs w:val="20"/>
        </w:rPr>
      </w:pPr>
    </w:p>
    <w:p w:rsidR="00165497" w:rsidRPr="00BD60A0" w:rsidRDefault="00165497" w:rsidP="00165497">
      <w:pPr>
        <w:autoSpaceDE w:val="0"/>
        <w:autoSpaceDN w:val="0"/>
        <w:adjustRightInd w:val="0"/>
        <w:spacing w:after="0" w:line="240" w:lineRule="auto"/>
        <w:rPr>
          <w:rFonts w:cs="Arial-BoldMT"/>
          <w:bCs/>
          <w:color w:val="6D6D6D"/>
          <w:sz w:val="20"/>
          <w:szCs w:val="20"/>
        </w:rPr>
      </w:pPr>
      <w:r w:rsidRPr="00BD60A0">
        <w:rPr>
          <w:rFonts w:cs="Arial-BoldMT"/>
          <w:b/>
          <w:bCs/>
          <w:color w:val="6D6D6D"/>
          <w:sz w:val="20"/>
          <w:szCs w:val="20"/>
        </w:rPr>
        <w:t>Who We Are: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Reforestation Group is an International Group that operates large farms in the Para region of Brazil.</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We are based in Grand Cayman and we focus only on this region and previously deforested land.</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 xml:space="preserve">Our </w:t>
      </w:r>
      <w:r w:rsidR="00796A20" w:rsidRPr="00BD60A0">
        <w:rPr>
          <w:rFonts w:cs="ArialMT"/>
          <w:color w:val="6D6D6D"/>
          <w:sz w:val="20"/>
          <w:szCs w:val="20"/>
        </w:rPr>
        <w:t>representatives New World Forestry</w:t>
      </w:r>
      <w:r w:rsidRPr="00BD60A0">
        <w:rPr>
          <w:rFonts w:cs="ArialMT"/>
          <w:color w:val="6D6D6D"/>
          <w:sz w:val="20"/>
          <w:szCs w:val="20"/>
        </w:rPr>
        <w:t xml:space="preserve"> are based in Kent.</w:t>
      </w:r>
    </w:p>
    <w:p w:rsidR="00165497" w:rsidRPr="00BD60A0" w:rsidRDefault="00165497" w:rsidP="00165497">
      <w:pPr>
        <w:autoSpaceDE w:val="0"/>
        <w:autoSpaceDN w:val="0"/>
        <w:adjustRightInd w:val="0"/>
        <w:spacing w:after="0" w:line="240" w:lineRule="auto"/>
        <w:rPr>
          <w:rFonts w:cs="Arial-BoldMT"/>
          <w:bCs/>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Our Business Objective: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To bring ethical investment in sustainable forestry within the reach of all investors. Our projects</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provide fixed term cash cropping whilst protecting existing tracts of native forestry, and increase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local employment. The land is actively managed through an appointed land management company.</w:t>
      </w:r>
    </w:p>
    <w:p w:rsidR="00165497" w:rsidRPr="00BD60A0" w:rsidRDefault="00165497" w:rsidP="00165497">
      <w:pPr>
        <w:autoSpaceDE w:val="0"/>
        <w:autoSpaceDN w:val="0"/>
        <w:adjustRightInd w:val="0"/>
        <w:spacing w:after="0" w:line="240" w:lineRule="auto"/>
        <w:rPr>
          <w:rFonts w:cs="Arial-BoldMT"/>
          <w:bCs/>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Why Brazilian forestry:</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Growing demand for alternative fuels Crops pre-sold prior to harvest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Harv</w:t>
      </w:r>
      <w:r w:rsidR="00796A20" w:rsidRPr="00BD60A0">
        <w:rPr>
          <w:rFonts w:cs="ArialMT"/>
          <w:color w:val="6D6D6D"/>
          <w:sz w:val="20"/>
          <w:szCs w:val="20"/>
        </w:rPr>
        <w:t xml:space="preserve">ests every six </w:t>
      </w:r>
      <w:r w:rsidR="00320345" w:rsidRPr="00BD60A0">
        <w:rPr>
          <w:rFonts w:cs="ArialMT"/>
          <w:color w:val="6D6D6D"/>
          <w:sz w:val="20"/>
          <w:szCs w:val="20"/>
        </w:rPr>
        <w:t xml:space="preserve">–seven </w:t>
      </w:r>
      <w:r w:rsidR="00796A20" w:rsidRPr="00BD60A0">
        <w:rPr>
          <w:rFonts w:cs="ArialMT"/>
          <w:color w:val="6D6D6D"/>
          <w:sz w:val="20"/>
          <w:szCs w:val="20"/>
        </w:rPr>
        <w:t>years with Reforestation</w:t>
      </w:r>
      <w:r w:rsidRPr="00BD60A0">
        <w:rPr>
          <w:rFonts w:cs="ArialMT"/>
          <w:color w:val="6D6D6D"/>
          <w:sz w:val="20"/>
          <w:szCs w:val="20"/>
        </w:rPr>
        <w:t xml:space="preserve"> of deforested land</w:t>
      </w:r>
      <w:r w:rsidR="00796A20" w:rsidRPr="00BD60A0">
        <w:rPr>
          <w:rFonts w:cs="ArialMT"/>
          <w:color w:val="6D6D6D"/>
          <w:sz w:val="20"/>
          <w:szCs w:val="20"/>
        </w:rPr>
        <w:t>.</w:t>
      </w:r>
    </w:p>
    <w:p w:rsidR="00796A20" w:rsidRPr="00BD60A0" w:rsidRDefault="00796A20" w:rsidP="00165497">
      <w:pPr>
        <w:autoSpaceDE w:val="0"/>
        <w:autoSpaceDN w:val="0"/>
        <w:adjustRightInd w:val="0"/>
        <w:spacing w:after="0" w:line="240" w:lineRule="auto"/>
        <w:rPr>
          <w:rFonts w:cs="ArialMT"/>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The Investment: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Investors acquire a 21 year term with break options at seven and fourteen years. Other exit options</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are available</w:t>
      </w:r>
      <w:r w:rsidR="00796A20" w:rsidRPr="00BD60A0">
        <w:rPr>
          <w:rFonts w:cs="ArialMT"/>
          <w:color w:val="6D6D6D"/>
          <w:sz w:val="20"/>
          <w:szCs w:val="20"/>
        </w:rPr>
        <w:t xml:space="preserve"> in the form of a 90 sale instruction (subject to terms)</w:t>
      </w:r>
      <w:r w:rsidRPr="00BD60A0">
        <w:rPr>
          <w:rFonts w:cs="ArialMT"/>
          <w:color w:val="6D6D6D"/>
          <w:sz w:val="20"/>
          <w:szCs w:val="20"/>
        </w:rPr>
        <w:t>. Full investment costs are covered in the first crop as well as providing a high profit. Subsequent cropping cycles every seven years return increasing benefits. After</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21 years the</w:t>
      </w:r>
      <w:r w:rsidR="00796A20" w:rsidRPr="00BD60A0">
        <w:rPr>
          <w:rFonts w:cs="ArialMT"/>
          <w:color w:val="6D6D6D"/>
          <w:sz w:val="20"/>
          <w:szCs w:val="20"/>
        </w:rPr>
        <w:t xml:space="preserve"> rights are bought back from the investor and the</w:t>
      </w:r>
      <w:r w:rsidRPr="00BD60A0">
        <w:rPr>
          <w:rFonts w:cs="ArialMT"/>
          <w:color w:val="6D6D6D"/>
          <w:sz w:val="20"/>
          <w:szCs w:val="20"/>
        </w:rPr>
        <w:t xml:space="preserve"> land is re-stocked with native species for the benefit of the local community. The</w:t>
      </w:r>
      <w:r w:rsidR="00796A20" w:rsidRPr="00BD60A0">
        <w:rPr>
          <w:rFonts w:cs="ArialMT"/>
          <w:color w:val="6D6D6D"/>
          <w:sz w:val="20"/>
          <w:szCs w:val="20"/>
        </w:rPr>
        <w:t xml:space="preserve"> </w:t>
      </w:r>
      <w:r w:rsidRPr="00BD60A0">
        <w:rPr>
          <w:rFonts w:cs="ArialMT"/>
          <w:color w:val="6D6D6D"/>
          <w:sz w:val="20"/>
          <w:szCs w:val="20"/>
        </w:rPr>
        <w:t>investor may place a project into a trust vehicle of their choosing.</w:t>
      </w:r>
    </w:p>
    <w:p w:rsidR="00165497" w:rsidRPr="00BD60A0" w:rsidRDefault="00165497" w:rsidP="00165497">
      <w:pPr>
        <w:autoSpaceDE w:val="0"/>
        <w:autoSpaceDN w:val="0"/>
        <w:adjustRightInd w:val="0"/>
        <w:spacing w:after="0" w:line="240" w:lineRule="auto"/>
        <w:rPr>
          <w:rFonts w:cs="Arial-BoldMT"/>
          <w:b/>
          <w:bCs/>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Costs or Deductions:</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The initial investment of ₤10,000 per Hectare covers rights to crop the land and full costs of the first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harvest cycle. A commission of 5% is charged on each harvest and cropping cycles 2 and 3 require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a fixed land management fee of ₤4,000 paid to the management company of choice. There are no</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other deductions.</w:t>
      </w:r>
    </w:p>
    <w:p w:rsidR="00165497" w:rsidRPr="00BD60A0" w:rsidRDefault="00165497" w:rsidP="00165497">
      <w:pPr>
        <w:autoSpaceDE w:val="0"/>
        <w:autoSpaceDN w:val="0"/>
        <w:adjustRightInd w:val="0"/>
        <w:spacing w:after="0" w:line="240" w:lineRule="auto"/>
        <w:rPr>
          <w:rFonts w:cs="Arial-BoldMT"/>
          <w:bCs/>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Underlying Asset: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The investors’ directly held underlying asset is cropping rights to productive farmland. The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 xml:space="preserve">Reforestation Group provide investor returns from the sale of </w:t>
      </w:r>
      <w:proofErr w:type="spellStart"/>
      <w:r w:rsidRPr="00BD60A0">
        <w:rPr>
          <w:rFonts w:cs="ArialMT"/>
          <w:color w:val="6D6D6D"/>
          <w:sz w:val="20"/>
          <w:szCs w:val="20"/>
        </w:rPr>
        <w:t>torrefied</w:t>
      </w:r>
      <w:proofErr w:type="spellEnd"/>
      <w:r w:rsidRPr="00BD60A0">
        <w:rPr>
          <w:rFonts w:cs="ArialMT"/>
          <w:color w:val="6D6D6D"/>
          <w:sz w:val="20"/>
          <w:szCs w:val="20"/>
        </w:rPr>
        <w:t xml:space="preserve"> timber</w:t>
      </w:r>
      <w:r w:rsidR="00796A20" w:rsidRPr="00BD60A0">
        <w:rPr>
          <w:rFonts w:cs="ArialMT"/>
          <w:color w:val="6D6D6D"/>
          <w:sz w:val="20"/>
          <w:szCs w:val="20"/>
        </w:rPr>
        <w:t xml:space="preserve"> wood pellets </w:t>
      </w:r>
      <w:r w:rsidRPr="00BD60A0">
        <w:rPr>
          <w:rFonts w:cs="ArialMT"/>
          <w:color w:val="6D6D6D"/>
          <w:sz w:val="20"/>
          <w:szCs w:val="20"/>
        </w:rPr>
        <w:t xml:space="preserve">for use in </w:t>
      </w:r>
      <w:r w:rsidR="00796A20" w:rsidRPr="00BD60A0">
        <w:rPr>
          <w:rFonts w:cs="ArialMT"/>
          <w:color w:val="6D6D6D"/>
          <w:sz w:val="20"/>
          <w:szCs w:val="20"/>
        </w:rPr>
        <w:t>Power Stations</w:t>
      </w:r>
      <w:r w:rsidRPr="00BD60A0">
        <w:rPr>
          <w:rFonts w:cs="ArialMT"/>
          <w:color w:val="6D6D6D"/>
          <w:sz w:val="20"/>
          <w:szCs w:val="20"/>
        </w:rPr>
        <w:t>, and a number of other uses. The land is held in confirmed ownership by a Brazilian</w:t>
      </w:r>
    </w:p>
    <w:p w:rsidR="00165497" w:rsidRPr="00BD60A0" w:rsidRDefault="00796A20"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Company</w:t>
      </w:r>
      <w:r w:rsidR="00165497" w:rsidRPr="00BD60A0">
        <w:rPr>
          <w:rFonts w:cs="ArialMT"/>
          <w:color w:val="6D6D6D"/>
          <w:sz w:val="20"/>
          <w:szCs w:val="20"/>
        </w:rPr>
        <w:t xml:space="preserve"> and Reforestation Group provide investment projects based on that land. New World</w:t>
      </w:r>
    </w:p>
    <w:p w:rsidR="00165497" w:rsidRPr="00BD60A0" w:rsidRDefault="00796A20"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Forestry</w:t>
      </w:r>
      <w:r w:rsidR="00165497" w:rsidRPr="00BD60A0">
        <w:rPr>
          <w:rFonts w:cs="ArialMT"/>
          <w:color w:val="6D6D6D"/>
          <w:sz w:val="20"/>
          <w:szCs w:val="20"/>
        </w:rPr>
        <w:t xml:space="preserve"> Limited introduce investors and advisors to those projects with exclusive rights to promote</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and support those investments.</w:t>
      </w:r>
    </w:p>
    <w:p w:rsidR="00165497" w:rsidRPr="00BD60A0" w:rsidRDefault="00165497" w:rsidP="00165497">
      <w:pPr>
        <w:autoSpaceDE w:val="0"/>
        <w:autoSpaceDN w:val="0"/>
        <w:adjustRightInd w:val="0"/>
        <w:spacing w:after="0" w:line="240" w:lineRule="auto"/>
        <w:rPr>
          <w:rFonts w:cs="Arial-BoldMT"/>
          <w:bCs/>
          <w:color w:val="6D6D6D"/>
          <w:sz w:val="20"/>
          <w:szCs w:val="20"/>
        </w:rPr>
      </w:pPr>
    </w:p>
    <w:p w:rsidR="00165497" w:rsidRPr="00BD60A0" w:rsidRDefault="00165497" w:rsidP="00165497">
      <w:pPr>
        <w:autoSpaceDE w:val="0"/>
        <w:autoSpaceDN w:val="0"/>
        <w:adjustRightInd w:val="0"/>
        <w:spacing w:after="0" w:line="240" w:lineRule="auto"/>
        <w:rPr>
          <w:rFonts w:cs="Arial-BoldMT"/>
          <w:b/>
          <w:bCs/>
          <w:color w:val="6D6D6D"/>
          <w:sz w:val="20"/>
          <w:szCs w:val="20"/>
        </w:rPr>
      </w:pPr>
      <w:r w:rsidRPr="00BD60A0">
        <w:rPr>
          <w:rFonts w:cs="Arial-BoldMT"/>
          <w:b/>
          <w:bCs/>
          <w:color w:val="6D6D6D"/>
          <w:sz w:val="20"/>
          <w:szCs w:val="20"/>
        </w:rPr>
        <w:t>Security for Investors Risks for Investors</w:t>
      </w:r>
      <w:r w:rsidR="00BD60A0" w:rsidRPr="00BD60A0">
        <w:rPr>
          <w:rFonts w:cs="Arial-BoldMT"/>
          <w:b/>
          <w:bCs/>
          <w:color w:val="6D6D6D"/>
          <w:sz w:val="20"/>
          <w:szCs w:val="20"/>
        </w:rPr>
        <w: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Exclusive own</w:t>
      </w:r>
      <w:r w:rsidR="00796A20" w:rsidRPr="00BD60A0">
        <w:rPr>
          <w:rFonts w:cs="ArialMT"/>
          <w:color w:val="6D6D6D"/>
          <w:sz w:val="20"/>
          <w:szCs w:val="20"/>
        </w:rPr>
        <w:t>ership of cropping rights Non FC</w:t>
      </w:r>
      <w:r w:rsidRPr="00BD60A0">
        <w:rPr>
          <w:rFonts w:cs="ArialMT"/>
          <w:color w:val="6D6D6D"/>
          <w:sz w:val="20"/>
          <w:szCs w:val="20"/>
        </w:rPr>
        <w:t>A regulated &amp; no recourse to FSCS</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 xml:space="preserve">Land can be sold in event of default </w:t>
      </w:r>
      <w:r w:rsidR="00796A20" w:rsidRPr="00BD60A0">
        <w:rPr>
          <w:rFonts w:cs="ArialMT"/>
          <w:color w:val="6D6D6D"/>
          <w:sz w:val="20"/>
          <w:szCs w:val="20"/>
        </w:rPr>
        <w:t>illiquid</w:t>
      </w:r>
      <w:r w:rsidRPr="00BD60A0">
        <w:rPr>
          <w:rFonts w:cs="ArialMT"/>
          <w:color w:val="6D6D6D"/>
          <w:sz w:val="20"/>
          <w:szCs w:val="20"/>
        </w:rPr>
        <w:t xml:space="preserve"> investment</w:t>
      </w:r>
    </w:p>
    <w:p w:rsidR="00165497" w:rsidRPr="00BD60A0" w:rsidRDefault="00165497"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Crop demand increasing</w:t>
      </w:r>
    </w:p>
    <w:p w:rsidR="0007495F" w:rsidRPr="00BD60A0" w:rsidRDefault="0007495F" w:rsidP="00165497">
      <w:pPr>
        <w:autoSpaceDE w:val="0"/>
        <w:autoSpaceDN w:val="0"/>
        <w:adjustRightInd w:val="0"/>
        <w:spacing w:after="0" w:line="240" w:lineRule="auto"/>
        <w:rPr>
          <w:rFonts w:cs="ArialMT"/>
          <w:color w:val="6D6D6D"/>
          <w:sz w:val="20"/>
          <w:szCs w:val="20"/>
        </w:rPr>
      </w:pPr>
    </w:p>
    <w:p w:rsidR="00796A20" w:rsidRPr="00BD60A0" w:rsidRDefault="00796A20" w:rsidP="00165497">
      <w:pPr>
        <w:autoSpaceDE w:val="0"/>
        <w:autoSpaceDN w:val="0"/>
        <w:adjustRightInd w:val="0"/>
        <w:spacing w:after="0" w:line="240" w:lineRule="auto"/>
        <w:rPr>
          <w:rFonts w:cs="ArialMT"/>
          <w:b/>
          <w:color w:val="6D6D6D"/>
          <w:sz w:val="20"/>
          <w:szCs w:val="20"/>
        </w:rPr>
      </w:pPr>
      <w:r w:rsidRPr="00BD60A0">
        <w:rPr>
          <w:rFonts w:cs="ArialMT"/>
          <w:b/>
          <w:color w:val="6D6D6D"/>
          <w:sz w:val="20"/>
          <w:szCs w:val="20"/>
        </w:rPr>
        <w:t>Returns for Investors</w:t>
      </w:r>
      <w:r w:rsidR="00BD60A0">
        <w:rPr>
          <w:rFonts w:cs="ArialMT"/>
          <w:b/>
          <w:color w:val="6D6D6D"/>
          <w:sz w:val="20"/>
          <w:szCs w:val="20"/>
        </w:rPr>
        <w:t>:</w:t>
      </w:r>
    </w:p>
    <w:p w:rsidR="00796A20" w:rsidRPr="00BD60A0" w:rsidRDefault="0055256B"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Investment returns are based solely on the sale of the timber produced on the specific hectare(s) of which the rights are purchased by an investor.</w:t>
      </w:r>
    </w:p>
    <w:p w:rsidR="0055256B" w:rsidRPr="00BD60A0" w:rsidRDefault="0055256B"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Returns are calculated based on the planting of 1200-1500 Eucalyptus trees per hectare with a minimum harvest yield of 150 Metric Tons (management company guaranteed).</w:t>
      </w:r>
    </w:p>
    <w:p w:rsidR="00BD60A0" w:rsidRDefault="00BD60A0" w:rsidP="00165497">
      <w:pPr>
        <w:autoSpaceDE w:val="0"/>
        <w:autoSpaceDN w:val="0"/>
        <w:adjustRightInd w:val="0"/>
        <w:spacing w:after="0" w:line="240" w:lineRule="auto"/>
        <w:rPr>
          <w:rFonts w:cs="ArialMT"/>
          <w:color w:val="6D6D6D"/>
          <w:sz w:val="20"/>
          <w:szCs w:val="20"/>
        </w:rPr>
      </w:pPr>
    </w:p>
    <w:p w:rsidR="0055256B" w:rsidRPr="00BD60A0" w:rsidRDefault="0055256B"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With a resale price of £130 per metric ton(based on purchase orders).</w:t>
      </w:r>
    </w:p>
    <w:p w:rsidR="0055256B" w:rsidRPr="00BD60A0" w:rsidRDefault="0055256B" w:rsidP="00165497">
      <w:pPr>
        <w:autoSpaceDE w:val="0"/>
        <w:autoSpaceDN w:val="0"/>
        <w:adjustRightInd w:val="0"/>
        <w:spacing w:after="0" w:line="240" w:lineRule="auto"/>
        <w:rPr>
          <w:rFonts w:cs="ArialMT"/>
          <w:color w:val="6D6D6D"/>
          <w:sz w:val="20"/>
          <w:szCs w:val="20"/>
        </w:rPr>
      </w:pPr>
      <w:r w:rsidRPr="00BD60A0">
        <w:rPr>
          <w:rFonts w:cs="ArialMT"/>
          <w:color w:val="6D6D6D"/>
          <w:sz w:val="20"/>
          <w:szCs w:val="20"/>
        </w:rPr>
        <w:t>Every hectare will produce a minimum of £19,500 every 7 years or £58,500 every 21 years (minus costs and deductions).</w:t>
      </w:r>
    </w:p>
    <w:p w:rsidR="00165497" w:rsidRPr="00BD60A0" w:rsidRDefault="00165497" w:rsidP="00165497">
      <w:pPr>
        <w:autoSpaceDE w:val="0"/>
        <w:autoSpaceDN w:val="0"/>
        <w:adjustRightInd w:val="0"/>
        <w:spacing w:after="0" w:line="240" w:lineRule="auto"/>
        <w:rPr>
          <w:rFonts w:cs="Helvetica-Bold"/>
          <w:bCs/>
          <w:color w:val="6D6D6D"/>
          <w:sz w:val="16"/>
          <w:szCs w:val="16"/>
        </w:rPr>
      </w:pPr>
    </w:p>
    <w:p w:rsidR="0007495F" w:rsidRPr="00BD60A0" w:rsidRDefault="0007495F" w:rsidP="00165497">
      <w:pPr>
        <w:autoSpaceDE w:val="0"/>
        <w:autoSpaceDN w:val="0"/>
        <w:adjustRightInd w:val="0"/>
        <w:spacing w:after="0" w:line="240" w:lineRule="auto"/>
        <w:rPr>
          <w:rFonts w:cs="Helvetica-Bold"/>
          <w:b/>
          <w:bCs/>
          <w:color w:val="6D6D6D"/>
          <w:sz w:val="20"/>
          <w:szCs w:val="20"/>
        </w:rPr>
      </w:pPr>
      <w:r w:rsidRPr="00BD60A0">
        <w:rPr>
          <w:rFonts w:cs="Helvetica-Bold"/>
          <w:b/>
          <w:bCs/>
          <w:color w:val="6D6D6D"/>
          <w:sz w:val="20"/>
          <w:szCs w:val="20"/>
        </w:rPr>
        <w:t>Off-take</w:t>
      </w:r>
      <w:r w:rsidR="00BD60A0">
        <w:rPr>
          <w:rFonts w:cs="Helvetica-Bold"/>
          <w:b/>
          <w:bCs/>
          <w:color w:val="6D6D6D"/>
          <w:sz w:val="20"/>
          <w:szCs w:val="20"/>
        </w:rPr>
        <w:t>:</w:t>
      </w:r>
    </w:p>
    <w:p w:rsidR="0007495F" w:rsidRPr="00BD60A0" w:rsidRDefault="0007495F" w:rsidP="00165497">
      <w:pPr>
        <w:autoSpaceDE w:val="0"/>
        <w:autoSpaceDN w:val="0"/>
        <w:adjustRightInd w:val="0"/>
        <w:spacing w:after="0" w:line="240" w:lineRule="auto"/>
        <w:rPr>
          <w:rFonts w:cs="Helvetica-Bold"/>
          <w:bCs/>
          <w:color w:val="6D6D6D"/>
          <w:sz w:val="20"/>
          <w:szCs w:val="20"/>
        </w:rPr>
      </w:pPr>
      <w:r w:rsidRPr="00BD60A0">
        <w:rPr>
          <w:rFonts w:cs="Helvetica-Bold"/>
          <w:bCs/>
          <w:color w:val="6D6D6D"/>
          <w:sz w:val="20"/>
          <w:szCs w:val="20"/>
        </w:rPr>
        <w:t xml:space="preserve">New World Forestry are very active in the global timber markets working with plantation owners, shipping contractors and end users </w:t>
      </w:r>
      <w:proofErr w:type="spellStart"/>
      <w:r w:rsidRPr="00BD60A0">
        <w:rPr>
          <w:rFonts w:cs="Helvetica-Bold"/>
          <w:bCs/>
          <w:color w:val="6D6D6D"/>
          <w:sz w:val="20"/>
          <w:szCs w:val="20"/>
        </w:rPr>
        <w:t>i.e</w:t>
      </w:r>
      <w:proofErr w:type="spellEnd"/>
      <w:r w:rsidRPr="00BD60A0">
        <w:rPr>
          <w:rFonts w:cs="Helvetica-Bold"/>
          <w:bCs/>
          <w:color w:val="6D6D6D"/>
          <w:sz w:val="20"/>
          <w:szCs w:val="20"/>
        </w:rPr>
        <w:t xml:space="preserve"> Energy Companies and Paper Mills. As such we have considerable purchase orders in place for the sale of our investors timber. Including a 10 year contract for over 120,000 metric tons per month of Eucalyptus from our port in Brazil.</w:t>
      </w:r>
    </w:p>
    <w:p w:rsidR="0007495F" w:rsidRPr="00BD60A0" w:rsidRDefault="0007495F" w:rsidP="00165497">
      <w:pPr>
        <w:autoSpaceDE w:val="0"/>
        <w:autoSpaceDN w:val="0"/>
        <w:adjustRightInd w:val="0"/>
        <w:spacing w:after="0" w:line="240" w:lineRule="auto"/>
        <w:rPr>
          <w:rFonts w:cs="Helvetica-Bold"/>
          <w:bCs/>
          <w:color w:val="6D6D6D"/>
          <w:sz w:val="20"/>
          <w:szCs w:val="20"/>
        </w:rPr>
      </w:pPr>
    </w:p>
    <w:p w:rsidR="00165497" w:rsidRPr="00BD60A0" w:rsidRDefault="00320345" w:rsidP="00165497">
      <w:pPr>
        <w:autoSpaceDE w:val="0"/>
        <w:autoSpaceDN w:val="0"/>
        <w:adjustRightInd w:val="0"/>
        <w:spacing w:after="0" w:line="240" w:lineRule="auto"/>
        <w:rPr>
          <w:rFonts w:cs="Helvetica-Bold"/>
          <w:b/>
          <w:bCs/>
          <w:color w:val="6D6D6D"/>
          <w:sz w:val="20"/>
          <w:szCs w:val="20"/>
        </w:rPr>
      </w:pPr>
      <w:r w:rsidRPr="00BD60A0">
        <w:rPr>
          <w:rFonts w:cs="Helvetica-Bold"/>
          <w:b/>
          <w:bCs/>
          <w:color w:val="6D6D6D"/>
          <w:sz w:val="20"/>
          <w:szCs w:val="20"/>
        </w:rPr>
        <w:t>Validation</w:t>
      </w:r>
      <w:r w:rsidR="00BD60A0">
        <w:rPr>
          <w:rFonts w:cs="Helvetica-Bold"/>
          <w:b/>
          <w:bCs/>
          <w:color w:val="6D6D6D"/>
          <w:sz w:val="20"/>
          <w:szCs w:val="20"/>
        </w:rPr>
        <w:t>:</w:t>
      </w:r>
    </w:p>
    <w:p w:rsidR="00320345" w:rsidRPr="00BD60A0" w:rsidRDefault="00320345" w:rsidP="00165497">
      <w:pPr>
        <w:autoSpaceDE w:val="0"/>
        <w:autoSpaceDN w:val="0"/>
        <w:adjustRightInd w:val="0"/>
        <w:spacing w:after="0" w:line="240" w:lineRule="auto"/>
        <w:rPr>
          <w:rFonts w:cs="Helvetica-Bold"/>
          <w:bCs/>
          <w:color w:val="6D6D6D"/>
          <w:sz w:val="20"/>
          <w:szCs w:val="20"/>
        </w:rPr>
      </w:pPr>
      <w:r w:rsidRPr="00BD60A0">
        <w:rPr>
          <w:rFonts w:cs="Helvetica-Bold"/>
          <w:bCs/>
          <w:color w:val="6D6D6D"/>
          <w:sz w:val="20"/>
          <w:szCs w:val="20"/>
        </w:rPr>
        <w:t xml:space="preserve">We have available on request various reports and surveys for investors Due Diligence these include an </w:t>
      </w:r>
    </w:p>
    <w:p w:rsidR="00320345" w:rsidRPr="00BD60A0" w:rsidRDefault="00320345" w:rsidP="00165497">
      <w:pPr>
        <w:autoSpaceDE w:val="0"/>
        <w:autoSpaceDN w:val="0"/>
        <w:adjustRightInd w:val="0"/>
        <w:spacing w:after="0" w:line="240" w:lineRule="auto"/>
        <w:rPr>
          <w:rFonts w:cs="Helvetica-Bold"/>
          <w:bCs/>
          <w:color w:val="6D6D6D"/>
          <w:sz w:val="20"/>
          <w:szCs w:val="20"/>
        </w:rPr>
      </w:pPr>
      <w:proofErr w:type="spellStart"/>
      <w:r w:rsidRPr="00BD60A0">
        <w:rPr>
          <w:rFonts w:cs="Helvetica-Bold"/>
          <w:bCs/>
          <w:color w:val="6D6D6D"/>
          <w:sz w:val="20"/>
          <w:szCs w:val="20"/>
        </w:rPr>
        <w:t>Fazenda</w:t>
      </w:r>
      <w:proofErr w:type="spellEnd"/>
      <w:r w:rsidRPr="00BD60A0">
        <w:rPr>
          <w:rFonts w:cs="Helvetica-Bold"/>
          <w:bCs/>
          <w:color w:val="6D6D6D"/>
          <w:sz w:val="20"/>
          <w:szCs w:val="20"/>
        </w:rPr>
        <w:t xml:space="preserve"> Boa </w:t>
      </w:r>
      <w:proofErr w:type="spellStart"/>
      <w:r w:rsidRPr="00BD60A0">
        <w:rPr>
          <w:rFonts w:cs="Helvetica-Bold"/>
          <w:bCs/>
          <w:color w:val="6D6D6D"/>
          <w:sz w:val="20"/>
          <w:szCs w:val="20"/>
        </w:rPr>
        <w:t>Sorte</w:t>
      </w:r>
      <w:proofErr w:type="spellEnd"/>
      <w:r w:rsidRPr="00BD60A0">
        <w:rPr>
          <w:rFonts w:cs="Helvetica-Bold"/>
          <w:bCs/>
          <w:color w:val="6D6D6D"/>
          <w:sz w:val="20"/>
          <w:szCs w:val="20"/>
        </w:rPr>
        <w:t xml:space="preserve"> </w:t>
      </w:r>
      <w:proofErr w:type="spellStart"/>
      <w:r w:rsidRPr="00BD60A0">
        <w:rPr>
          <w:rFonts w:cs="Helvetica-Bold"/>
          <w:bCs/>
          <w:color w:val="6D6D6D"/>
          <w:sz w:val="20"/>
          <w:szCs w:val="20"/>
        </w:rPr>
        <w:t>Agri</w:t>
      </w:r>
      <w:proofErr w:type="spellEnd"/>
      <w:r w:rsidRPr="00BD60A0">
        <w:rPr>
          <w:rFonts w:cs="Helvetica-Bold"/>
          <w:bCs/>
          <w:color w:val="6D6D6D"/>
          <w:sz w:val="20"/>
          <w:szCs w:val="20"/>
        </w:rPr>
        <w:t xml:space="preserve"> report – This Document reviews the lands characteristics required for the planting of Eucalyptus, The environmental features of the farm </w:t>
      </w:r>
      <w:proofErr w:type="spellStart"/>
      <w:r w:rsidRPr="00BD60A0">
        <w:rPr>
          <w:rFonts w:cs="Helvetica-Bold"/>
          <w:bCs/>
          <w:color w:val="6D6D6D"/>
          <w:sz w:val="20"/>
          <w:szCs w:val="20"/>
        </w:rPr>
        <w:t>Fazenda</w:t>
      </w:r>
      <w:proofErr w:type="spellEnd"/>
      <w:r w:rsidRPr="00BD60A0">
        <w:rPr>
          <w:rFonts w:cs="Helvetica-Bold"/>
          <w:bCs/>
          <w:color w:val="6D6D6D"/>
          <w:sz w:val="20"/>
          <w:szCs w:val="20"/>
        </w:rPr>
        <w:t xml:space="preserve"> Boa </w:t>
      </w:r>
      <w:proofErr w:type="spellStart"/>
      <w:r w:rsidRPr="00BD60A0">
        <w:rPr>
          <w:rFonts w:cs="Helvetica-Bold"/>
          <w:bCs/>
          <w:color w:val="6D6D6D"/>
          <w:sz w:val="20"/>
          <w:szCs w:val="20"/>
        </w:rPr>
        <w:t>Sorte</w:t>
      </w:r>
      <w:proofErr w:type="spellEnd"/>
      <w:r w:rsidRPr="00BD60A0">
        <w:rPr>
          <w:rFonts w:cs="Helvetica-Bold"/>
          <w:bCs/>
          <w:color w:val="6D6D6D"/>
          <w:sz w:val="20"/>
          <w:szCs w:val="20"/>
        </w:rPr>
        <w:t xml:space="preserve"> and a conclusion that both our planting density and harvest yield predictions are correct.</w:t>
      </w:r>
    </w:p>
    <w:p w:rsidR="00320345" w:rsidRPr="00BD60A0" w:rsidRDefault="00320345" w:rsidP="00165497">
      <w:pPr>
        <w:autoSpaceDE w:val="0"/>
        <w:autoSpaceDN w:val="0"/>
        <w:adjustRightInd w:val="0"/>
        <w:spacing w:after="0" w:line="240" w:lineRule="auto"/>
        <w:rPr>
          <w:rFonts w:cs="Helvetica-Bold"/>
          <w:bCs/>
          <w:color w:val="6D6D6D"/>
          <w:sz w:val="20"/>
          <w:szCs w:val="20"/>
        </w:rPr>
      </w:pPr>
    </w:p>
    <w:p w:rsidR="006E1B97" w:rsidRPr="00BD60A0" w:rsidRDefault="006E1B97" w:rsidP="00165497">
      <w:pPr>
        <w:autoSpaceDE w:val="0"/>
        <w:autoSpaceDN w:val="0"/>
        <w:adjustRightInd w:val="0"/>
        <w:spacing w:after="0" w:line="240" w:lineRule="auto"/>
        <w:rPr>
          <w:rFonts w:cs="Helvetica-Bold"/>
          <w:bCs/>
          <w:color w:val="6D6D6D"/>
          <w:sz w:val="20"/>
          <w:szCs w:val="20"/>
        </w:rPr>
      </w:pPr>
      <w:r w:rsidRPr="00BD60A0">
        <w:rPr>
          <w:rFonts w:cs="Helvetica-Bold"/>
          <w:bCs/>
          <w:color w:val="6D6D6D"/>
          <w:sz w:val="20"/>
          <w:szCs w:val="20"/>
        </w:rPr>
        <w:t>Land Valuation – The valuation document talks about the current freehold value of the land to confirm investors are not holding a wasting asset.</w:t>
      </w:r>
    </w:p>
    <w:p w:rsidR="006E1B97" w:rsidRPr="00BD60A0" w:rsidRDefault="006E1B97" w:rsidP="00165497">
      <w:pPr>
        <w:autoSpaceDE w:val="0"/>
        <w:autoSpaceDN w:val="0"/>
        <w:adjustRightInd w:val="0"/>
        <w:spacing w:after="0" w:line="240" w:lineRule="auto"/>
        <w:rPr>
          <w:rFonts w:cs="Helvetica-Bold"/>
          <w:bCs/>
          <w:color w:val="6D6D6D"/>
          <w:sz w:val="20"/>
          <w:szCs w:val="20"/>
        </w:rPr>
      </w:pPr>
      <w:proofErr w:type="spellStart"/>
      <w:r w:rsidRPr="00BD60A0">
        <w:rPr>
          <w:rFonts w:cs="Helvetica-Bold"/>
          <w:bCs/>
          <w:color w:val="6D6D6D"/>
          <w:sz w:val="20"/>
          <w:szCs w:val="20"/>
        </w:rPr>
        <w:t>Cotacao</w:t>
      </w:r>
      <w:proofErr w:type="spellEnd"/>
      <w:r w:rsidRPr="00BD60A0">
        <w:rPr>
          <w:rFonts w:cs="Helvetica-Bold"/>
          <w:bCs/>
          <w:color w:val="6D6D6D"/>
          <w:sz w:val="20"/>
          <w:szCs w:val="20"/>
        </w:rPr>
        <w:t xml:space="preserve"> </w:t>
      </w:r>
      <w:proofErr w:type="spellStart"/>
      <w:r w:rsidRPr="00BD60A0">
        <w:rPr>
          <w:rFonts w:cs="Helvetica-Bold"/>
          <w:bCs/>
          <w:color w:val="6D6D6D"/>
          <w:sz w:val="20"/>
          <w:szCs w:val="20"/>
        </w:rPr>
        <w:t>Seguro</w:t>
      </w:r>
      <w:proofErr w:type="spellEnd"/>
      <w:r w:rsidRPr="00BD60A0">
        <w:rPr>
          <w:rFonts w:cs="Helvetica-Bold"/>
          <w:bCs/>
          <w:color w:val="6D6D6D"/>
          <w:sz w:val="20"/>
          <w:szCs w:val="20"/>
        </w:rPr>
        <w:t xml:space="preserve"> </w:t>
      </w:r>
      <w:proofErr w:type="spellStart"/>
      <w:r w:rsidRPr="00BD60A0">
        <w:rPr>
          <w:rFonts w:cs="Helvetica-Bold"/>
          <w:bCs/>
          <w:color w:val="6D6D6D"/>
          <w:sz w:val="20"/>
          <w:szCs w:val="20"/>
        </w:rPr>
        <w:t>Floresta</w:t>
      </w:r>
      <w:proofErr w:type="spellEnd"/>
      <w:r w:rsidRPr="00BD60A0">
        <w:rPr>
          <w:rFonts w:cs="Helvetica-Bold"/>
          <w:bCs/>
          <w:color w:val="6D6D6D"/>
          <w:sz w:val="20"/>
          <w:szCs w:val="20"/>
        </w:rPr>
        <w:t xml:space="preserve"> – This document outlines the insurance provided by Allianz Insurance and the schedule of risk and protection. This includes flooding, strong winds, excessive rain, fire, lightning, security as well as the comprehensive plantation insurance used by most reputable forestry companies in the region.</w:t>
      </w:r>
    </w:p>
    <w:p w:rsidR="006E1B97" w:rsidRPr="00BD60A0" w:rsidRDefault="006E1B97" w:rsidP="00165497">
      <w:pPr>
        <w:autoSpaceDE w:val="0"/>
        <w:autoSpaceDN w:val="0"/>
        <w:adjustRightInd w:val="0"/>
        <w:spacing w:after="0" w:line="240" w:lineRule="auto"/>
        <w:rPr>
          <w:rFonts w:cs="Helvetica-Bold"/>
          <w:bCs/>
          <w:color w:val="6D6D6D"/>
          <w:sz w:val="20"/>
          <w:szCs w:val="20"/>
        </w:rPr>
      </w:pPr>
      <w:r w:rsidRPr="00BD60A0">
        <w:rPr>
          <w:rFonts w:cs="Helvetica-Bold"/>
          <w:bCs/>
          <w:color w:val="6D6D6D"/>
          <w:sz w:val="20"/>
          <w:szCs w:val="20"/>
        </w:rPr>
        <w:t xml:space="preserve">Legal Opinions – We have an extensive network of Legal Advisors and as such have obtained advice and reports on every aspect of our business. We are happy to share these </w:t>
      </w:r>
      <w:proofErr w:type="spellStart"/>
      <w:r w:rsidRPr="00BD60A0">
        <w:rPr>
          <w:rFonts w:cs="Helvetica-Bold"/>
          <w:bCs/>
          <w:color w:val="6D6D6D"/>
          <w:sz w:val="20"/>
          <w:szCs w:val="20"/>
        </w:rPr>
        <w:t>opionions</w:t>
      </w:r>
      <w:proofErr w:type="spellEnd"/>
      <w:r w:rsidRPr="00BD60A0">
        <w:rPr>
          <w:rFonts w:cs="Helvetica-Bold"/>
          <w:bCs/>
          <w:color w:val="6D6D6D"/>
          <w:sz w:val="20"/>
          <w:szCs w:val="20"/>
        </w:rPr>
        <w:t>.</w:t>
      </w:r>
    </w:p>
    <w:p w:rsidR="006E1B97" w:rsidRPr="00BD60A0" w:rsidRDefault="006E1B97" w:rsidP="00165497">
      <w:pPr>
        <w:autoSpaceDE w:val="0"/>
        <w:autoSpaceDN w:val="0"/>
        <w:adjustRightInd w:val="0"/>
        <w:spacing w:after="0" w:line="240" w:lineRule="auto"/>
        <w:rPr>
          <w:rFonts w:cs="Helvetica-Bold"/>
          <w:bCs/>
          <w:color w:val="6D6D6D"/>
          <w:sz w:val="20"/>
          <w:szCs w:val="20"/>
        </w:rPr>
      </w:pPr>
    </w:p>
    <w:p w:rsidR="006E1B97" w:rsidRPr="00BD60A0" w:rsidRDefault="00033F43" w:rsidP="00165497">
      <w:pPr>
        <w:autoSpaceDE w:val="0"/>
        <w:autoSpaceDN w:val="0"/>
        <w:adjustRightInd w:val="0"/>
        <w:spacing w:after="0" w:line="240" w:lineRule="auto"/>
        <w:rPr>
          <w:rFonts w:cs="Helvetica-Bold"/>
          <w:b/>
          <w:bCs/>
          <w:color w:val="6D6D6D"/>
          <w:sz w:val="20"/>
          <w:szCs w:val="20"/>
        </w:rPr>
      </w:pPr>
      <w:r w:rsidRPr="00BD60A0">
        <w:rPr>
          <w:rFonts w:cs="Helvetica-Bold"/>
          <w:b/>
          <w:bCs/>
          <w:color w:val="6D6D6D"/>
          <w:sz w:val="20"/>
          <w:szCs w:val="20"/>
        </w:rPr>
        <w:t>Payments</w:t>
      </w:r>
      <w:r w:rsidR="00BD60A0">
        <w:rPr>
          <w:rFonts w:cs="Helvetica-Bold"/>
          <w:b/>
          <w:bCs/>
          <w:color w:val="6D6D6D"/>
          <w:sz w:val="20"/>
          <w:szCs w:val="20"/>
        </w:rPr>
        <w:t>:</w:t>
      </w:r>
    </w:p>
    <w:p w:rsidR="00165497" w:rsidRPr="00BD60A0" w:rsidRDefault="00033F43" w:rsidP="00165497">
      <w:pPr>
        <w:autoSpaceDE w:val="0"/>
        <w:autoSpaceDN w:val="0"/>
        <w:adjustRightInd w:val="0"/>
        <w:spacing w:after="0" w:line="240" w:lineRule="auto"/>
        <w:rPr>
          <w:rFonts w:cs="Helvetica-Bold"/>
          <w:bCs/>
          <w:color w:val="6D6D6D"/>
          <w:sz w:val="20"/>
          <w:szCs w:val="20"/>
        </w:rPr>
      </w:pPr>
      <w:r w:rsidRPr="00BD60A0">
        <w:rPr>
          <w:rFonts w:cs="Helvetica-Bold"/>
          <w:bCs/>
          <w:color w:val="6D6D6D"/>
          <w:sz w:val="20"/>
          <w:szCs w:val="20"/>
        </w:rPr>
        <w:t xml:space="preserve">We have historically used our Solicitors </w:t>
      </w:r>
      <w:proofErr w:type="spellStart"/>
      <w:r w:rsidRPr="00BD60A0">
        <w:rPr>
          <w:rFonts w:cs="Helvetica-Bold"/>
          <w:bCs/>
          <w:color w:val="6D6D6D"/>
          <w:sz w:val="20"/>
          <w:szCs w:val="20"/>
        </w:rPr>
        <w:t>Mishcon</w:t>
      </w:r>
      <w:proofErr w:type="spellEnd"/>
      <w:r w:rsidRPr="00BD60A0">
        <w:rPr>
          <w:rFonts w:cs="Helvetica-Bold"/>
          <w:bCs/>
          <w:color w:val="6D6D6D"/>
          <w:sz w:val="20"/>
          <w:szCs w:val="20"/>
        </w:rPr>
        <w:t xml:space="preserve"> De </w:t>
      </w:r>
      <w:proofErr w:type="spellStart"/>
      <w:r w:rsidRPr="00BD60A0">
        <w:rPr>
          <w:rFonts w:cs="Helvetica-Bold"/>
          <w:bCs/>
          <w:color w:val="6D6D6D"/>
          <w:sz w:val="20"/>
          <w:szCs w:val="20"/>
        </w:rPr>
        <w:t>Reya</w:t>
      </w:r>
      <w:proofErr w:type="spellEnd"/>
      <w:r w:rsidRPr="00BD60A0">
        <w:rPr>
          <w:rFonts w:cs="Helvetica-Bold"/>
          <w:bCs/>
          <w:color w:val="6D6D6D"/>
          <w:sz w:val="20"/>
          <w:szCs w:val="20"/>
        </w:rPr>
        <w:t xml:space="preserve"> to handle client funds on behalf of Reforestation Group. Due to recent changes in the SRA rules that prohibit the firm acting as a bank account. We are now using our solicitors FCA escrow with </w:t>
      </w:r>
      <w:proofErr w:type="spellStart"/>
      <w:r w:rsidRPr="00BD60A0">
        <w:rPr>
          <w:rFonts w:cs="Helvetica-Bold"/>
          <w:bCs/>
          <w:color w:val="6D6D6D"/>
          <w:sz w:val="20"/>
          <w:szCs w:val="20"/>
        </w:rPr>
        <w:t>Chantery</w:t>
      </w:r>
      <w:proofErr w:type="spellEnd"/>
      <w:r w:rsidRPr="00BD60A0">
        <w:rPr>
          <w:rFonts w:cs="Helvetica-Bold"/>
          <w:bCs/>
          <w:color w:val="6D6D6D"/>
          <w:sz w:val="20"/>
          <w:szCs w:val="20"/>
        </w:rPr>
        <w:t xml:space="preserve"> </w:t>
      </w:r>
      <w:proofErr w:type="spellStart"/>
      <w:r w:rsidRPr="00BD60A0">
        <w:rPr>
          <w:rFonts w:cs="Helvetica-Bold"/>
          <w:bCs/>
          <w:color w:val="6D6D6D"/>
          <w:sz w:val="20"/>
          <w:szCs w:val="20"/>
        </w:rPr>
        <w:t>Vellacot</w:t>
      </w:r>
      <w:proofErr w:type="spellEnd"/>
      <w:r w:rsidRPr="00BD60A0">
        <w:rPr>
          <w:rFonts w:cs="Helvetica-Bold"/>
          <w:bCs/>
          <w:color w:val="6D6D6D"/>
          <w:sz w:val="20"/>
          <w:szCs w:val="20"/>
        </w:rPr>
        <w:t>.</w:t>
      </w:r>
    </w:p>
    <w:p w:rsidR="00033F43" w:rsidRPr="00BD60A0" w:rsidRDefault="00033F43" w:rsidP="00165497">
      <w:pPr>
        <w:autoSpaceDE w:val="0"/>
        <w:autoSpaceDN w:val="0"/>
        <w:adjustRightInd w:val="0"/>
        <w:spacing w:after="0" w:line="240" w:lineRule="auto"/>
        <w:rPr>
          <w:rFonts w:ascii="Helvetica-Bold" w:hAnsi="Helvetica-Bold" w:cs="Helvetica-Bold"/>
          <w:bCs/>
          <w:color w:val="6D6D6D"/>
          <w:sz w:val="20"/>
          <w:szCs w:val="20"/>
        </w:rPr>
      </w:pPr>
      <w:r w:rsidRPr="00BD60A0">
        <w:rPr>
          <w:rFonts w:cs="Helvetica-Bold"/>
          <w:bCs/>
          <w:color w:val="6D6D6D"/>
          <w:sz w:val="20"/>
          <w:szCs w:val="20"/>
        </w:rPr>
        <w:t>The account can be deposited into directly from a pension scheme or cash only once a prospective investor has been accepted into the project based on the rules defining Financial Advice and sophisticated investor requirements. More information can be provided upon request.</w:t>
      </w:r>
    </w:p>
    <w:p w:rsidR="00165497" w:rsidRDefault="00165497" w:rsidP="00165497">
      <w:pPr>
        <w:autoSpaceDE w:val="0"/>
        <w:autoSpaceDN w:val="0"/>
        <w:adjustRightInd w:val="0"/>
        <w:spacing w:after="0" w:line="240" w:lineRule="auto"/>
        <w:rPr>
          <w:rFonts w:ascii="Helvetica-Bold" w:hAnsi="Helvetica-Bold" w:cs="Helvetica-Bold"/>
          <w:b/>
          <w:bCs/>
          <w:color w:val="6D6D6D"/>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6740"/>
      </w:tblGrid>
      <w:tr w:rsidR="00165497" w:rsidTr="005763F9">
        <w:trPr>
          <w:trHeight w:val="517"/>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Bold" w:hAnsi="Helvetica-Bold" w:cs="Helvetica-Bold"/>
                <w:b/>
                <w:bCs/>
                <w:color w:val="0D0D0D" w:themeColor="text1" w:themeTint="F2"/>
                <w:sz w:val="20"/>
                <w:szCs w:val="20"/>
              </w:rPr>
            </w:pPr>
          </w:p>
          <w:p w:rsidR="00165497" w:rsidRPr="00796A20" w:rsidRDefault="00165497" w:rsidP="00165497">
            <w:pPr>
              <w:autoSpaceDE w:val="0"/>
              <w:autoSpaceDN w:val="0"/>
              <w:adjustRightInd w:val="0"/>
              <w:spacing w:after="0" w:line="240" w:lineRule="auto"/>
              <w:ind w:left="160"/>
              <w:rPr>
                <w:rFonts w:ascii="Helvetica-Bold" w:hAnsi="Helvetica-Bold" w:cs="Helvetica-Bold"/>
                <w:b/>
                <w:bCs/>
                <w:color w:val="0D0D0D" w:themeColor="text1" w:themeTint="F2"/>
                <w:sz w:val="20"/>
                <w:szCs w:val="20"/>
              </w:rPr>
            </w:pPr>
            <w:r w:rsidRPr="00796A20">
              <w:rPr>
                <w:rFonts w:ascii="Helvetica-Bold" w:hAnsi="Helvetica-Bold" w:cs="Helvetica-Bold"/>
                <w:b/>
                <w:bCs/>
                <w:color w:val="0D0D0D" w:themeColor="text1" w:themeTint="F2"/>
                <w:sz w:val="20"/>
                <w:szCs w:val="20"/>
              </w:rPr>
              <w:t>Key Facts</w:t>
            </w:r>
          </w:p>
        </w:tc>
        <w:tc>
          <w:tcPr>
            <w:tcW w:w="6740" w:type="dxa"/>
          </w:tcPr>
          <w:p w:rsidR="00165497" w:rsidRDefault="00165497">
            <w:pPr>
              <w:rPr>
                <w:rFonts w:ascii="Helvetica-Bold" w:hAnsi="Helvetica-Bold" w:cs="Helvetica-Bold"/>
                <w:b/>
                <w:bCs/>
                <w:color w:val="6D6D6D"/>
                <w:sz w:val="20"/>
                <w:szCs w:val="20"/>
              </w:rPr>
            </w:pPr>
          </w:p>
          <w:p w:rsidR="00165497" w:rsidRDefault="00165497" w:rsidP="00165497">
            <w:pPr>
              <w:autoSpaceDE w:val="0"/>
              <w:autoSpaceDN w:val="0"/>
              <w:adjustRightInd w:val="0"/>
              <w:spacing w:after="0" w:line="240" w:lineRule="auto"/>
              <w:rPr>
                <w:rFonts w:ascii="Helvetica-Bold" w:hAnsi="Helvetica-Bold" w:cs="Helvetica-Bold"/>
                <w:b/>
                <w:bCs/>
                <w:color w:val="6D6D6D"/>
                <w:sz w:val="20"/>
                <w:szCs w:val="20"/>
              </w:rPr>
            </w:pPr>
          </w:p>
        </w:tc>
      </w:tr>
      <w:tr w:rsidR="00165497" w:rsidTr="00796A20">
        <w:trPr>
          <w:trHeight w:val="24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Bold" w:hAnsi="Helvetica-Bold" w:cs="Helvetica-Bold"/>
                <w:b/>
                <w:bCs/>
                <w:color w:val="0D0D0D" w:themeColor="text1" w:themeTint="F2"/>
                <w:sz w:val="20"/>
                <w:szCs w:val="20"/>
              </w:rPr>
            </w:pPr>
            <w:r w:rsidRPr="00796A20">
              <w:rPr>
                <w:rFonts w:ascii="Helvetica" w:hAnsi="Helvetica" w:cs="Helvetica"/>
                <w:color w:val="0D0D0D" w:themeColor="text1" w:themeTint="F2"/>
                <w:sz w:val="20"/>
                <w:szCs w:val="20"/>
              </w:rPr>
              <w:t>Asset Class</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Bold" w:hAnsi="Helvetica-Bold" w:cs="Helvetica-Bold"/>
                <w:b/>
                <w:bCs/>
                <w:color w:val="0D0D0D" w:themeColor="text1" w:themeTint="F2"/>
                <w:sz w:val="20"/>
                <w:szCs w:val="20"/>
              </w:rPr>
            </w:pPr>
            <w:r w:rsidRPr="00796A20">
              <w:rPr>
                <w:rFonts w:ascii="Helvetica" w:hAnsi="Helvetica" w:cs="Helvetica"/>
                <w:color w:val="0D0D0D" w:themeColor="text1" w:themeTint="F2"/>
                <w:sz w:val="20"/>
                <w:szCs w:val="20"/>
              </w:rPr>
              <w:t>Forestry</w:t>
            </w:r>
          </w:p>
        </w:tc>
      </w:tr>
      <w:tr w:rsidR="00165497" w:rsidTr="00796A20">
        <w:trPr>
          <w:trHeight w:val="21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Bold" w:hAnsi="Helvetica-Bold" w:cs="Helvetica-Bold"/>
                <w:b/>
                <w:bCs/>
                <w:color w:val="0D0D0D" w:themeColor="text1" w:themeTint="F2"/>
                <w:sz w:val="20"/>
                <w:szCs w:val="20"/>
              </w:rPr>
            </w:pPr>
            <w:r w:rsidRPr="00796A20">
              <w:rPr>
                <w:rFonts w:ascii="Helvetica" w:hAnsi="Helvetica" w:cs="Helvetica"/>
                <w:color w:val="0D0D0D" w:themeColor="text1" w:themeTint="F2"/>
                <w:sz w:val="20"/>
                <w:szCs w:val="20"/>
              </w:rPr>
              <w:t>Location</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Bold" w:hAnsi="Helvetica-Bold" w:cs="Helvetica-Bold"/>
                <w:b/>
                <w:bCs/>
                <w:color w:val="0D0D0D" w:themeColor="text1" w:themeTint="F2"/>
                <w:sz w:val="20"/>
                <w:szCs w:val="20"/>
              </w:rPr>
            </w:pPr>
            <w:r w:rsidRPr="00796A20">
              <w:rPr>
                <w:rFonts w:ascii="Helvetica" w:hAnsi="Helvetica" w:cs="Helvetica"/>
                <w:color w:val="0D0D0D" w:themeColor="text1" w:themeTint="F2"/>
                <w:sz w:val="20"/>
                <w:szCs w:val="20"/>
              </w:rPr>
              <w:t>Para, Brazil</w:t>
            </w:r>
          </w:p>
        </w:tc>
      </w:tr>
      <w:tr w:rsidR="00165497" w:rsidTr="00796A20">
        <w:trPr>
          <w:trHeight w:val="26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Currency</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₤Sterling or $US</w:t>
            </w:r>
          </w:p>
        </w:tc>
      </w:tr>
      <w:tr w:rsidR="00165497" w:rsidTr="00796A20">
        <w:trPr>
          <w:trHeight w:val="27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Term</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21 years with breaks at 7 and 14</w:t>
            </w:r>
          </w:p>
        </w:tc>
      </w:tr>
      <w:tr w:rsidR="00165497" w:rsidTr="00796A20">
        <w:trPr>
          <w:trHeight w:val="30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Exit</w:t>
            </w:r>
          </w:p>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possible</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 xml:space="preserve">Land reverts to Reforestation Group at end of term. Intermediate exits are </w:t>
            </w:r>
          </w:p>
          <w:p w:rsidR="00165497" w:rsidRPr="00796A20" w:rsidRDefault="00165497" w:rsidP="00165497">
            <w:pPr>
              <w:autoSpaceDE w:val="0"/>
              <w:autoSpaceDN w:val="0"/>
              <w:adjustRightInd w:val="0"/>
              <w:spacing w:after="0" w:line="240" w:lineRule="auto"/>
              <w:rPr>
                <w:rFonts w:ascii="Helvetica" w:hAnsi="Helvetica" w:cs="Helvetica"/>
                <w:color w:val="0D0D0D" w:themeColor="text1" w:themeTint="F2"/>
                <w:sz w:val="20"/>
                <w:szCs w:val="20"/>
              </w:rPr>
            </w:pPr>
          </w:p>
        </w:tc>
      </w:tr>
      <w:tr w:rsidR="00165497" w:rsidTr="00796A20">
        <w:trPr>
          <w:trHeight w:val="22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Minimum Investment</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9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₤10,000 and then multiples thereof</w:t>
            </w:r>
          </w:p>
        </w:tc>
      </w:tr>
      <w:tr w:rsidR="00165497" w:rsidTr="00796A20">
        <w:trPr>
          <w:trHeight w:val="440"/>
        </w:trPr>
        <w:tc>
          <w:tcPr>
            <w:tcW w:w="2320" w:type="dxa"/>
            <w:shd w:val="clear" w:color="auto" w:fill="BFBFBF" w:themeFill="background1" w:themeFillShade="BF"/>
          </w:tcPr>
          <w:p w:rsidR="00796A20" w:rsidRPr="00796A20" w:rsidRDefault="00796A20" w:rsidP="00796A20">
            <w:pPr>
              <w:autoSpaceDE w:val="0"/>
              <w:autoSpaceDN w:val="0"/>
              <w:adjustRightInd w:val="0"/>
              <w:spacing w:after="0" w:line="240" w:lineRule="auto"/>
              <w:rPr>
                <w:rFonts w:ascii="Helvetica" w:hAnsi="Helvetica" w:cs="Helvetica"/>
                <w:color w:val="0D0D0D" w:themeColor="text1" w:themeTint="F2"/>
                <w:sz w:val="20"/>
                <w:szCs w:val="20"/>
              </w:rPr>
            </w:pPr>
          </w:p>
          <w:p w:rsidR="00165497" w:rsidRPr="00796A20" w:rsidRDefault="00796A20" w:rsidP="00796A20">
            <w:pPr>
              <w:autoSpaceDE w:val="0"/>
              <w:autoSpaceDN w:val="0"/>
              <w:adjustRightInd w:val="0"/>
              <w:spacing w:after="0" w:line="240" w:lineRule="auto"/>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 xml:space="preserve">    </w:t>
            </w:r>
            <w:r w:rsidR="00165497" w:rsidRPr="00796A20">
              <w:rPr>
                <w:rFonts w:ascii="Helvetica" w:hAnsi="Helvetica" w:cs="Helvetica"/>
                <w:color w:val="0D0D0D" w:themeColor="text1" w:themeTint="F2"/>
                <w:sz w:val="20"/>
                <w:szCs w:val="20"/>
              </w:rPr>
              <w:t>ROI</w:t>
            </w:r>
          </w:p>
        </w:tc>
        <w:tc>
          <w:tcPr>
            <w:tcW w:w="6740" w:type="dxa"/>
            <w:shd w:val="clear" w:color="auto" w:fill="D9D9D9" w:themeFill="background1" w:themeFillShade="D9"/>
          </w:tcPr>
          <w:p w:rsidR="00165497" w:rsidRPr="00796A20" w:rsidRDefault="00165497" w:rsidP="00796A20">
            <w:pPr>
              <w:autoSpaceDE w:val="0"/>
              <w:autoSpaceDN w:val="0"/>
              <w:adjustRightInd w:val="0"/>
              <w:spacing w:after="0" w:line="240" w:lineRule="auto"/>
              <w:ind w:left="9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Depends on investment</w:t>
            </w:r>
            <w:r w:rsidR="00796A20" w:rsidRPr="00796A20">
              <w:rPr>
                <w:rFonts w:ascii="Helvetica" w:hAnsi="Helvetica" w:cs="Helvetica"/>
                <w:color w:val="0D0D0D" w:themeColor="text1" w:themeTint="F2"/>
                <w:sz w:val="20"/>
                <w:szCs w:val="20"/>
              </w:rPr>
              <w:t xml:space="preserve"> and performance but typically 32.5%</w:t>
            </w:r>
          </w:p>
        </w:tc>
      </w:tr>
      <w:tr w:rsidR="00165497" w:rsidTr="00796A20">
        <w:trPr>
          <w:trHeight w:val="240"/>
        </w:trPr>
        <w:tc>
          <w:tcPr>
            <w:tcW w:w="2320" w:type="dxa"/>
            <w:shd w:val="clear" w:color="auto" w:fill="BFBFBF" w:themeFill="background1" w:themeFillShade="BF"/>
          </w:tcPr>
          <w:p w:rsidR="00165497" w:rsidRPr="00796A20" w:rsidRDefault="00165497" w:rsidP="00165497">
            <w:pPr>
              <w:autoSpaceDE w:val="0"/>
              <w:autoSpaceDN w:val="0"/>
              <w:adjustRightInd w:val="0"/>
              <w:spacing w:after="0" w:line="240" w:lineRule="auto"/>
              <w:ind w:left="160"/>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Investor Security</w:t>
            </w:r>
          </w:p>
        </w:tc>
        <w:tc>
          <w:tcPr>
            <w:tcW w:w="6740" w:type="dxa"/>
            <w:shd w:val="clear" w:color="auto" w:fill="D9D9D9" w:themeFill="background1" w:themeFillShade="D9"/>
          </w:tcPr>
          <w:p w:rsidR="00165497" w:rsidRPr="00796A20" w:rsidRDefault="00165497" w:rsidP="00165497">
            <w:pPr>
              <w:autoSpaceDE w:val="0"/>
              <w:autoSpaceDN w:val="0"/>
              <w:adjustRightInd w:val="0"/>
              <w:spacing w:after="0" w:line="240" w:lineRule="auto"/>
              <w:ind w:left="13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Land provides appreciating asset against liabilities</w:t>
            </w:r>
          </w:p>
        </w:tc>
      </w:tr>
      <w:tr w:rsidR="00165497" w:rsidTr="00796A20">
        <w:trPr>
          <w:trHeight w:val="560"/>
        </w:trPr>
        <w:tc>
          <w:tcPr>
            <w:tcW w:w="2320" w:type="dxa"/>
            <w:shd w:val="clear" w:color="auto" w:fill="BFBFBF" w:themeFill="background1" w:themeFillShade="BF"/>
          </w:tcPr>
          <w:p w:rsidR="00796A20" w:rsidRPr="00796A20" w:rsidRDefault="00796A20" w:rsidP="00165497">
            <w:pPr>
              <w:autoSpaceDE w:val="0"/>
              <w:autoSpaceDN w:val="0"/>
              <w:adjustRightInd w:val="0"/>
              <w:spacing w:after="0" w:line="240" w:lineRule="auto"/>
              <w:ind w:left="160"/>
              <w:rPr>
                <w:rFonts w:ascii="Helvetica" w:hAnsi="Helvetica" w:cs="Helvetica"/>
                <w:color w:val="0D0D0D" w:themeColor="text1" w:themeTint="F2"/>
                <w:sz w:val="20"/>
                <w:szCs w:val="20"/>
              </w:rPr>
            </w:pPr>
          </w:p>
          <w:p w:rsidR="00165497" w:rsidRPr="00796A20" w:rsidRDefault="00165497" w:rsidP="00796A20">
            <w:pPr>
              <w:autoSpaceDE w:val="0"/>
              <w:autoSpaceDN w:val="0"/>
              <w:adjustRightInd w:val="0"/>
              <w:spacing w:after="0" w:line="240" w:lineRule="auto"/>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Accepted in a Pension</w:t>
            </w:r>
          </w:p>
          <w:p w:rsidR="00165497" w:rsidRPr="00796A20" w:rsidRDefault="00165497" w:rsidP="00165497">
            <w:pPr>
              <w:autoSpaceDE w:val="0"/>
              <w:autoSpaceDN w:val="0"/>
              <w:adjustRightInd w:val="0"/>
              <w:spacing w:after="0" w:line="240" w:lineRule="auto"/>
              <w:rPr>
                <w:rFonts w:ascii="Helvetica" w:hAnsi="Helvetica" w:cs="Helvetica"/>
                <w:color w:val="0D0D0D" w:themeColor="text1" w:themeTint="F2"/>
                <w:sz w:val="20"/>
                <w:szCs w:val="20"/>
              </w:rPr>
            </w:pPr>
          </w:p>
        </w:tc>
        <w:tc>
          <w:tcPr>
            <w:tcW w:w="6740" w:type="dxa"/>
            <w:shd w:val="clear" w:color="auto" w:fill="D9D9D9" w:themeFill="background1" w:themeFillShade="D9"/>
          </w:tcPr>
          <w:p w:rsidR="00796A20" w:rsidRPr="00796A20" w:rsidRDefault="00796A20" w:rsidP="00165497">
            <w:pPr>
              <w:autoSpaceDE w:val="0"/>
              <w:autoSpaceDN w:val="0"/>
              <w:adjustRightInd w:val="0"/>
              <w:spacing w:after="0" w:line="240" w:lineRule="auto"/>
              <w:ind w:left="132"/>
              <w:rPr>
                <w:rFonts w:ascii="Helvetica" w:hAnsi="Helvetica" w:cs="Helvetica"/>
                <w:color w:val="0D0D0D" w:themeColor="text1" w:themeTint="F2"/>
                <w:sz w:val="20"/>
                <w:szCs w:val="20"/>
              </w:rPr>
            </w:pPr>
          </w:p>
          <w:p w:rsidR="00165497" w:rsidRPr="00796A20" w:rsidRDefault="00165497" w:rsidP="00165497">
            <w:pPr>
              <w:autoSpaceDE w:val="0"/>
              <w:autoSpaceDN w:val="0"/>
              <w:adjustRightInd w:val="0"/>
              <w:spacing w:after="0" w:line="240" w:lineRule="auto"/>
              <w:ind w:left="132"/>
              <w:rPr>
                <w:rFonts w:ascii="Helvetica" w:hAnsi="Helvetica" w:cs="Helvetica"/>
                <w:color w:val="0D0D0D" w:themeColor="text1" w:themeTint="F2"/>
                <w:sz w:val="20"/>
                <w:szCs w:val="20"/>
              </w:rPr>
            </w:pPr>
            <w:r w:rsidRPr="00796A20">
              <w:rPr>
                <w:rFonts w:ascii="Helvetica" w:hAnsi="Helvetica" w:cs="Helvetica"/>
                <w:color w:val="0D0D0D" w:themeColor="text1" w:themeTint="F2"/>
                <w:sz w:val="20"/>
                <w:szCs w:val="20"/>
              </w:rPr>
              <w:t xml:space="preserve"> SASS QROP QNUP or Offshore Investment Bond</w:t>
            </w:r>
          </w:p>
          <w:p w:rsidR="00165497" w:rsidRPr="00796A20" w:rsidRDefault="00165497" w:rsidP="00165497">
            <w:pPr>
              <w:autoSpaceDE w:val="0"/>
              <w:autoSpaceDN w:val="0"/>
              <w:adjustRightInd w:val="0"/>
              <w:spacing w:after="0" w:line="240" w:lineRule="auto"/>
              <w:rPr>
                <w:rFonts w:ascii="Helvetica" w:hAnsi="Helvetica" w:cs="Helvetica"/>
                <w:color w:val="0D0D0D" w:themeColor="text1" w:themeTint="F2"/>
                <w:sz w:val="20"/>
                <w:szCs w:val="20"/>
              </w:rPr>
            </w:pPr>
          </w:p>
        </w:tc>
      </w:tr>
    </w:tbl>
    <w:p w:rsidR="00165497" w:rsidRPr="00165497" w:rsidRDefault="00165497" w:rsidP="00165497">
      <w:pPr>
        <w:autoSpaceDE w:val="0"/>
        <w:autoSpaceDN w:val="0"/>
        <w:adjustRightInd w:val="0"/>
        <w:spacing w:after="0" w:line="240" w:lineRule="auto"/>
        <w:rPr>
          <w:rFonts w:ascii="ArialMT" w:hAnsi="ArialMT" w:cs="ArialMT"/>
          <w:color w:val="6D6D6D"/>
          <w:sz w:val="20"/>
          <w:szCs w:val="20"/>
        </w:rPr>
      </w:pPr>
      <w:r w:rsidRPr="00165497">
        <w:rPr>
          <w:rFonts w:ascii="ArialMT" w:hAnsi="ArialMT" w:cs="ArialMT"/>
          <w:color w:val="6D6D6D"/>
          <w:sz w:val="20"/>
          <w:szCs w:val="20"/>
        </w:rPr>
        <w:t>Disclaimer:</w:t>
      </w:r>
    </w:p>
    <w:p w:rsidR="00165497" w:rsidRDefault="00165497" w:rsidP="00165497">
      <w:pPr>
        <w:autoSpaceDE w:val="0"/>
        <w:autoSpaceDN w:val="0"/>
        <w:adjustRightInd w:val="0"/>
        <w:spacing w:after="0" w:line="240" w:lineRule="auto"/>
        <w:rPr>
          <w:rFonts w:ascii="ArialMT" w:hAnsi="ArialMT" w:cs="ArialMT"/>
          <w:color w:val="6D6D6D"/>
          <w:sz w:val="14"/>
          <w:szCs w:val="14"/>
        </w:rPr>
      </w:pPr>
      <w:r>
        <w:rPr>
          <w:rFonts w:ascii="ArialMT" w:hAnsi="ArialMT" w:cs="ArialMT"/>
          <w:color w:val="6D6D6D"/>
          <w:sz w:val="16"/>
          <w:szCs w:val="16"/>
        </w:rPr>
        <w:t>T</w:t>
      </w:r>
      <w:r>
        <w:rPr>
          <w:rFonts w:ascii="ArialMT" w:hAnsi="ArialMT" w:cs="ArialMT"/>
          <w:color w:val="6D6D6D"/>
          <w:sz w:val="14"/>
          <w:szCs w:val="14"/>
        </w:rPr>
        <w:t xml:space="preserve">his document is for use by introducers who have </w:t>
      </w:r>
      <w:r w:rsidR="00033F43">
        <w:rPr>
          <w:rFonts w:ascii="ArialMT" w:hAnsi="ArialMT" w:cs="ArialMT"/>
          <w:color w:val="6D6D6D"/>
          <w:sz w:val="14"/>
          <w:szCs w:val="14"/>
        </w:rPr>
        <w:t>been trained by New World Forestry and Trustees</w:t>
      </w:r>
      <w:r>
        <w:rPr>
          <w:rFonts w:ascii="ArialMT" w:hAnsi="ArialMT" w:cs="ArialMT"/>
          <w:color w:val="6D6D6D"/>
          <w:sz w:val="14"/>
          <w:szCs w:val="14"/>
        </w:rPr>
        <w:t xml:space="preserve"> only. It should not be disclosed to investors or potential</w:t>
      </w:r>
      <w:r w:rsidR="0007495F">
        <w:rPr>
          <w:rFonts w:ascii="ArialMT" w:hAnsi="ArialMT" w:cs="ArialMT"/>
          <w:color w:val="6D6D6D"/>
          <w:sz w:val="14"/>
          <w:szCs w:val="14"/>
        </w:rPr>
        <w:t xml:space="preserve"> </w:t>
      </w:r>
      <w:r>
        <w:rPr>
          <w:rFonts w:ascii="ArialMT" w:hAnsi="ArialMT" w:cs="ArialMT"/>
          <w:color w:val="6D6D6D"/>
          <w:sz w:val="14"/>
          <w:szCs w:val="14"/>
        </w:rPr>
        <w:t>investors in these projects or to any third party under any circum</w:t>
      </w:r>
      <w:r w:rsidR="0007495F">
        <w:rPr>
          <w:rFonts w:ascii="ArialMT" w:hAnsi="ArialMT" w:cs="ArialMT"/>
          <w:color w:val="6D6D6D"/>
          <w:sz w:val="14"/>
          <w:szCs w:val="14"/>
        </w:rPr>
        <w:t>stances. If any New World Forestry</w:t>
      </w:r>
      <w:r>
        <w:rPr>
          <w:rFonts w:ascii="ArialMT" w:hAnsi="ArialMT" w:cs="ArialMT"/>
          <w:color w:val="6D6D6D"/>
          <w:sz w:val="14"/>
          <w:szCs w:val="14"/>
        </w:rPr>
        <w:t xml:space="preserve"> introducer breaches the requirement not to</w:t>
      </w:r>
      <w:r w:rsidR="0007495F">
        <w:rPr>
          <w:rFonts w:ascii="ArialMT" w:hAnsi="ArialMT" w:cs="ArialMT"/>
          <w:color w:val="6D6D6D"/>
          <w:sz w:val="14"/>
          <w:szCs w:val="14"/>
        </w:rPr>
        <w:t xml:space="preserve"> </w:t>
      </w:r>
      <w:r>
        <w:rPr>
          <w:rFonts w:ascii="ArialMT" w:hAnsi="ArialMT" w:cs="ArialMT"/>
          <w:color w:val="6D6D6D"/>
          <w:sz w:val="14"/>
          <w:szCs w:val="14"/>
        </w:rPr>
        <w:t>disclose they could be held liable for any losses, costs or charges incurred directly or indirectly as a result of such a breach.</w:t>
      </w:r>
    </w:p>
    <w:p w:rsidR="00165497" w:rsidRDefault="0007495F" w:rsidP="00165497">
      <w:pPr>
        <w:autoSpaceDE w:val="0"/>
        <w:autoSpaceDN w:val="0"/>
        <w:adjustRightInd w:val="0"/>
        <w:spacing w:after="0" w:line="240" w:lineRule="auto"/>
        <w:rPr>
          <w:rFonts w:ascii="ArialMT" w:hAnsi="ArialMT" w:cs="ArialMT"/>
          <w:color w:val="6D6D6D"/>
          <w:sz w:val="14"/>
          <w:szCs w:val="14"/>
        </w:rPr>
      </w:pPr>
      <w:r>
        <w:rPr>
          <w:rFonts w:ascii="ArialMT" w:hAnsi="ArialMT" w:cs="ArialMT"/>
          <w:color w:val="6D6D6D"/>
          <w:sz w:val="14"/>
          <w:szCs w:val="14"/>
        </w:rPr>
        <w:t>New World Forestry</w:t>
      </w:r>
      <w:r w:rsidR="00165497">
        <w:rPr>
          <w:rFonts w:ascii="ArialMT" w:hAnsi="ArialMT" w:cs="ArialMT"/>
          <w:color w:val="6D6D6D"/>
          <w:sz w:val="14"/>
          <w:szCs w:val="14"/>
        </w:rPr>
        <w:t xml:space="preserve"> has used reasonable efforts to ensure that the content of this document is accura</w:t>
      </w:r>
      <w:r>
        <w:rPr>
          <w:rFonts w:ascii="ArialMT" w:hAnsi="ArialMT" w:cs="ArialMT"/>
          <w:color w:val="6D6D6D"/>
          <w:sz w:val="14"/>
          <w:szCs w:val="14"/>
        </w:rPr>
        <w:t>te. However, New World Forestry</w:t>
      </w:r>
      <w:r w:rsidR="00165497">
        <w:rPr>
          <w:rFonts w:ascii="ArialMT" w:hAnsi="ArialMT" w:cs="ArialMT"/>
          <w:color w:val="6D6D6D"/>
          <w:sz w:val="14"/>
          <w:szCs w:val="14"/>
        </w:rPr>
        <w:t xml:space="preserve"> and</w:t>
      </w:r>
    </w:p>
    <w:p w:rsidR="00165497" w:rsidRDefault="00165497" w:rsidP="00165497">
      <w:pPr>
        <w:autoSpaceDE w:val="0"/>
        <w:autoSpaceDN w:val="0"/>
        <w:adjustRightInd w:val="0"/>
        <w:spacing w:after="0" w:line="240" w:lineRule="auto"/>
        <w:rPr>
          <w:rFonts w:ascii="ArialMT" w:hAnsi="ArialMT" w:cs="ArialMT"/>
          <w:color w:val="6D6D6D"/>
          <w:sz w:val="14"/>
          <w:szCs w:val="14"/>
        </w:rPr>
      </w:pPr>
      <w:r>
        <w:rPr>
          <w:rFonts w:ascii="ArialMT" w:hAnsi="ArialMT" w:cs="ArialMT"/>
          <w:color w:val="6D6D6D"/>
          <w:sz w:val="14"/>
          <w:szCs w:val="14"/>
        </w:rPr>
        <w:t>Reforestation Group accepts no responsibility or liability for any errors or omissions herein.</w:t>
      </w:r>
    </w:p>
    <w:p w:rsidR="005763F9" w:rsidRDefault="005763F9" w:rsidP="00165497">
      <w:pPr>
        <w:autoSpaceDE w:val="0"/>
        <w:autoSpaceDN w:val="0"/>
        <w:adjustRightInd w:val="0"/>
        <w:spacing w:after="0" w:line="240" w:lineRule="auto"/>
        <w:rPr>
          <w:rFonts w:ascii="ArialMT" w:hAnsi="ArialMT" w:cs="ArialMT"/>
          <w:color w:val="6D6D6D"/>
          <w:sz w:val="14"/>
          <w:szCs w:val="14"/>
        </w:rPr>
      </w:pPr>
    </w:p>
    <w:p w:rsidR="005763F9" w:rsidRDefault="005763F9" w:rsidP="00165497">
      <w:pPr>
        <w:autoSpaceDE w:val="0"/>
        <w:autoSpaceDN w:val="0"/>
        <w:adjustRightInd w:val="0"/>
        <w:spacing w:after="0" w:line="240" w:lineRule="auto"/>
        <w:rPr>
          <w:rFonts w:ascii="ArialMT" w:hAnsi="ArialMT" w:cs="ArialMT"/>
          <w:color w:val="6D6D6D"/>
          <w:sz w:val="14"/>
          <w:szCs w:val="14"/>
        </w:rPr>
      </w:pPr>
      <w:r>
        <w:rPr>
          <w:rFonts w:ascii="ArialMT" w:hAnsi="ArialMT" w:cs="ArialMT"/>
          <w:color w:val="6D6D6D"/>
          <w:sz w:val="14"/>
          <w:szCs w:val="14"/>
        </w:rPr>
        <w:t>New World Forestry Ltd suite 151, 5 liberty square, Kings Hill, Kent, ME19 4AU</w:t>
      </w:r>
    </w:p>
    <w:p w:rsidR="00165497" w:rsidRDefault="00165497" w:rsidP="00165497">
      <w:pPr>
        <w:autoSpaceDE w:val="0"/>
        <w:autoSpaceDN w:val="0"/>
        <w:adjustRightInd w:val="0"/>
        <w:spacing w:after="0" w:line="240" w:lineRule="auto"/>
        <w:rPr>
          <w:rFonts w:ascii="Arial-BoldMT" w:hAnsi="Arial-BoldMT" w:cs="Arial-BoldMT"/>
          <w:b/>
          <w:bCs/>
          <w:color w:val="6D6D6D"/>
          <w:sz w:val="16"/>
          <w:szCs w:val="16"/>
        </w:rPr>
      </w:pPr>
    </w:p>
    <w:p w:rsidR="0002069D" w:rsidRDefault="00A82066" w:rsidP="00165497"/>
    <w:sectPr w:rsidR="0002069D" w:rsidSect="003209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20"/>
  <w:characterSpacingControl w:val="doNotCompress"/>
  <w:compat/>
  <w:rsids>
    <w:rsidRoot w:val="00165497"/>
    <w:rsid w:val="00033F43"/>
    <w:rsid w:val="0007495F"/>
    <w:rsid w:val="00165497"/>
    <w:rsid w:val="00320345"/>
    <w:rsid w:val="0032090C"/>
    <w:rsid w:val="0055256B"/>
    <w:rsid w:val="00564A4B"/>
    <w:rsid w:val="005763F9"/>
    <w:rsid w:val="006E1B97"/>
    <w:rsid w:val="00796A20"/>
    <w:rsid w:val="008977E2"/>
    <w:rsid w:val="00A82066"/>
    <w:rsid w:val="00BD60A0"/>
    <w:rsid w:val="00E84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Gavin McCloskey</cp:lastModifiedBy>
  <cp:revision>2</cp:revision>
  <dcterms:created xsi:type="dcterms:W3CDTF">2016-09-23T16:13:00Z</dcterms:created>
  <dcterms:modified xsi:type="dcterms:W3CDTF">2016-09-23T16:13:00Z</dcterms:modified>
</cp:coreProperties>
</file>