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Ludlow Trust SSAS </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This TRUST DEED is made on: </w:t>
      </w:r>
      <w:r w:rsidDel="00000000" w:rsidR="00000000" w:rsidRPr="00000000">
        <w:rPr>
          <w:rFonts w:ascii="Arial" w:cs="Arial" w:eastAsia="Arial" w:hAnsi="Arial"/>
          <w:rtl w:val="0"/>
        </w:rPr>
        <w:t xml:space="preserve">10/11/2022</w:t>
      </w:r>
    </w:p>
    <w:p w:rsidR="00000000" w:rsidDel="00000000" w:rsidP="00000000" w:rsidRDefault="00000000" w:rsidRPr="00000000" w14:paraId="00000005">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8">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5AM Members Club Limited</w:t>
      </w:r>
      <w:r w:rsidDel="00000000" w:rsidR="00000000" w:rsidRPr="00000000">
        <w:rPr>
          <w:rFonts w:ascii="Arial" w:cs="Arial" w:eastAsia="Arial" w:hAnsi="Arial"/>
          <w:b w:val="1"/>
          <w:color w:val="0a0c0c"/>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12586400 and whose registered office is situated at Suite 6-1a Floor 6 Clarence House, Newport, South Wales, NP19 7AA</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9">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Daniel Jack Martyn Ludlow</w:t>
      </w:r>
      <w:r w:rsidDel="00000000" w:rsidR="00000000" w:rsidRPr="00000000">
        <w:rPr>
          <w:rFonts w:ascii="Arial" w:cs="Arial" w:eastAsia="Arial" w:hAnsi="Arial"/>
          <w:b w:val="0"/>
          <w:i w:val="0"/>
          <w:color w:val="000000"/>
          <w:sz w:val="22"/>
          <w:szCs w:val="22"/>
          <w:rtl w:val="0"/>
        </w:rPr>
        <w:t xml:space="preserve"> of </w:t>
      </w:r>
      <w:r w:rsidDel="00000000" w:rsidR="00000000" w:rsidRPr="00000000">
        <w:rPr>
          <w:rFonts w:ascii="Arial" w:cs="Arial" w:eastAsia="Arial" w:hAnsi="Arial"/>
          <w:rtl w:val="0"/>
        </w:rPr>
        <w:t xml:space="preserve">120 Sunnybank Road, Griffithstown, Pontypool, NP4 5LL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Ludlow Trust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U1sJLD/ozHj7SJ/9GgGiAvsKMQ==">AMUW2mVs1duRgwV13fGbMsZVwKmWLkuEZ6SVAQQhncv8gfq8bzZXhTkGuGmWgxhaR+IXSUhRrH3vOPs/4ExL6MksJeaz1TclrsgikWiRkSaHwDYxWQ3A6lJKnuUHGdN8ZNbmW+Hy6L9z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