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Ludlow Trust SSAS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5">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6">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7">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9">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A">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D">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270" w:before="280" w:line="240" w:lineRule="auto"/>
        <w:rPr>
          <w:rFonts w:ascii="Arial" w:cs="Arial" w:eastAsia="Arial" w:hAnsi="Arial"/>
          <w:color w:val="000000"/>
        </w:rPr>
      </w:pPr>
      <w:bookmarkStart w:colFirst="0" w:colLast="0" w:name="_heading=h.30j0zll" w:id="2"/>
      <w:bookmarkEnd w:id="2"/>
      <w:r w:rsidDel="00000000" w:rsidR="00000000" w:rsidRPr="00000000">
        <w:rPr>
          <w:rtl w:val="0"/>
        </w:rPr>
      </w:r>
    </w:p>
    <w:p w:rsidR="00000000" w:rsidDel="00000000" w:rsidP="00000000" w:rsidRDefault="00000000" w:rsidRPr="00000000" w14:paraId="0000001F">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w:t>
      </w:r>
      <w:r w:rsidDel="00000000" w:rsidR="00000000" w:rsidRPr="00000000">
        <w:rPr>
          <w:rFonts w:ascii="Arial" w:cs="Arial" w:eastAsia="Arial" w:hAnsi="Arial"/>
          <w:rtl w:val="0"/>
        </w:rPr>
        <w:t xml:space="preserve">ed: Daniel Jack Martyn Ludlow</w:t>
      </w: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H3Cjdjvj8WC4SXG8NEkBrSsoA==">AMUW2mVvOPfmPbinGLbu6aCsXjd1B3DCbVC6RtwY1ifkcwGimcGdCPKGTcqg2C8veQhImVxSYiDd+i9mXqEuYCRmUJIB0gELWStx+44hhS5iZt1YbpM7XNlBjKpQ5mIcQFWz7kqdBQLovrG/wvepQ5jc4WQOq9q7Hg==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2022-08-19T18:25:00Z</dcterms:created>
  <dc:creator>Shelly</dc:creator>
</cp:coreProperties>
</file>