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bookmarkStart w:colFirst="0" w:colLast="0" w:name="_heading=h.1fob9te" w:id="0"/>
      <w:bookmarkEnd w:id="0"/>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color w:val="000000"/>
          <w:rtl w:val="0"/>
        </w:rPr>
        <w:t xml:space="preserve">Lloyd's Scheme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color w:val="000000"/>
          <w:rtl w:val="0"/>
        </w:rPr>
        <w:t xml:space="preserve">Darren David William Lloyd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 of </w:t>
      </w:r>
      <w:r w:rsidDel="00000000" w:rsidR="00000000" w:rsidRPr="00000000">
        <w:rPr>
          <w:rFonts w:ascii="Arial" w:cs="Arial" w:eastAsia="Arial" w:hAnsi="Arial"/>
          <w:color w:val="000000"/>
          <w:rtl w:val="0"/>
        </w:rPr>
        <w:t xml:space="preserve">Lloyd's</w:t>
      </w:r>
      <w:r w:rsidDel="00000000" w:rsidR="00000000" w:rsidRPr="00000000">
        <w:rPr>
          <w:rFonts w:ascii="Arial" w:cs="Arial" w:eastAsia="Arial" w:hAnsi="Arial"/>
          <w:highlight w:val="white"/>
          <w:rtl w:val="0"/>
        </w:rPr>
        <w:t xml:space="preserve"> Scheme</w:t>
      </w:r>
      <w:r w:rsidDel="00000000" w:rsidR="00000000" w:rsidRPr="00000000">
        <w:rPr>
          <w:rFonts w:ascii="Arial" w:cs="Arial" w:eastAsia="Arial" w:hAnsi="Arial"/>
          <w:highlight w:val="white"/>
          <w:rtl w:val="0"/>
        </w:rPr>
        <w:t xml:space="preserve"> of </w:t>
      </w:r>
      <w:r w:rsidDel="00000000" w:rsidR="00000000" w:rsidRPr="00000000">
        <w:rPr>
          <w:rFonts w:ascii="Arial" w:cs="Arial" w:eastAsia="Arial" w:hAnsi="Arial"/>
          <w:highlight w:val="white"/>
          <w:rtl w:val="0"/>
        </w:rPr>
        <w:t xml:space="preserve">Shearwater House, </w:t>
      </w:r>
      <w:r w:rsidDel="00000000" w:rsidR="00000000" w:rsidRPr="00000000">
        <w:rPr>
          <w:rFonts w:ascii="Arial" w:cs="Arial" w:eastAsia="Arial" w:hAnsi="Arial"/>
          <w:color w:val="000000"/>
          <w:highlight w:val="white"/>
          <w:rtl w:val="0"/>
        </w:rPr>
        <w:t xml:space="preserve">31a Gloucester Road, Almondsbury, Bristol, BS32 4HH</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30">
      <w:pPr>
        <w:jc w:val="both"/>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b w:val="1"/>
          <w:color w:val="ff0000"/>
        </w:rPr>
      </w:pPr>
      <w:r w:rsidDel="00000000" w:rsidR="00000000" w:rsidRPr="00000000">
        <w:rPr>
          <w:rFonts w:ascii="Arial" w:cs="Arial" w:eastAsia="Arial" w:hAnsi="Arial"/>
          <w:b w:val="1"/>
          <w:color w:val="000000"/>
          <w:rtl w:val="0"/>
        </w:rPr>
        <w:t xml:space="preserve">Darren David William Lloyd</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 Installation Charge: £900 for the first member and £550 for each additional member* </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Annual Operation Fee: £900 for the first member and £550 for each additional member*</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8">
      <w:pPr>
        <w:rPr>
          <w:rFonts w:ascii="Arial" w:cs="Arial" w:eastAsia="Arial" w:hAnsi="Arial"/>
          <w:i w:val="1"/>
        </w:rPr>
      </w:pPr>
      <w:r w:rsidDel="00000000" w:rsidR="00000000" w:rsidRPr="00000000">
        <w:rPr>
          <w:rtl w:val="0"/>
        </w:rPr>
      </w:r>
    </w:p>
    <w:p w:rsidR="00000000" w:rsidDel="00000000" w:rsidP="00000000" w:rsidRDefault="00000000" w:rsidRPr="00000000" w14:paraId="00000089">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B">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D">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jc w:val="both"/>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C">
      <w:pPr>
        <w:jc w:val="both"/>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D">
      <w:pPr>
        <w:jc w:val="both"/>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E">
      <w:pPr>
        <w:jc w:val="both"/>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F">
      <w:pPr>
        <w:jc w:val="both"/>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0">
      <w:pPr>
        <w:jc w:val="both"/>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5">
      <w:pPr>
        <w:jc w:val="both"/>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6">
      <w:pPr>
        <w:jc w:val="both"/>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A">
      <w:pPr>
        <w:jc w:val="both"/>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C">
      <w:pPr>
        <w:jc w:val="both"/>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D">
      <w:pPr>
        <w:jc w:val="both"/>
        <w:rPr>
          <w:rFonts w:ascii="Arial" w:cs="Arial" w:eastAsia="Arial" w:hAnsi="Arial"/>
        </w:rPr>
      </w:pPr>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F">
      <w:pPr>
        <w:jc w:val="both"/>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jc w:val="both"/>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2">
      <w:pPr>
        <w:jc w:val="both"/>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3">
      <w:pPr>
        <w:jc w:val="both"/>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4">
      <w:pPr>
        <w:jc w:val="both"/>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5">
      <w:pPr>
        <w:jc w:val="both"/>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p w:rsidR="00000000" w:rsidDel="00000000" w:rsidP="00000000" w:rsidRDefault="00000000" w:rsidRPr="00000000" w14:paraId="000000C8">
      <w:pPr>
        <w:jc w:val="both"/>
        <w:rPr>
          <w:rFonts w:ascii="Arial" w:cs="Arial" w:eastAsia="Arial" w:hAnsi="Arial"/>
        </w:rPr>
      </w:pPr>
      <w:r w:rsidDel="00000000" w:rsidR="00000000" w:rsidRPr="00000000">
        <w:rPr>
          <w:rtl w:val="0"/>
        </w:rPr>
      </w:r>
    </w:p>
    <w:p w:rsidR="00000000" w:rsidDel="00000000" w:rsidP="00000000" w:rsidRDefault="00000000" w:rsidRPr="00000000" w14:paraId="000000C9">
      <w:pPr>
        <w:jc w:val="both"/>
        <w:rPr>
          <w:rFonts w:ascii="Arial" w:cs="Arial" w:eastAsia="Arial" w:hAnsi="Arial"/>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B">
      <w:pPr>
        <w:jc w:val="both"/>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jc w:val="both"/>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E">
      <w:pPr>
        <w:jc w:val="both"/>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F">
      <w:pPr>
        <w:jc w:val="both"/>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0">
      <w:pPr>
        <w:jc w:val="both"/>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1">
      <w:pPr>
        <w:jc w:val="both"/>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2">
      <w:pPr>
        <w:jc w:val="both"/>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3">
      <w:pPr>
        <w:jc w:val="both"/>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6">
      <w:pPr>
        <w:jc w:val="both"/>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7">
      <w:pPr>
        <w:jc w:val="both"/>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8">
      <w:pPr>
        <w:jc w:val="both"/>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9">
      <w:pPr>
        <w:jc w:val="both"/>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A">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B">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C">
      <w:pPr>
        <w:jc w:val="both"/>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1">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2">
      <w:pPr>
        <w:jc w:val="both"/>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3">
      <w:pPr>
        <w:jc w:val="both"/>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6">
      <w:pPr>
        <w:jc w:val="both"/>
        <w:rPr>
          <w:rFonts w:ascii="Arial" w:cs="Arial" w:eastAsia="Arial" w:hAnsi="Arial"/>
        </w:rPr>
      </w:pPr>
      <w:r w:rsidDel="00000000" w:rsidR="00000000" w:rsidRPr="00000000">
        <w:rPr>
          <w:rtl w:val="0"/>
        </w:rPr>
      </w:r>
    </w:p>
    <w:p w:rsidR="00000000" w:rsidDel="00000000" w:rsidP="00000000" w:rsidRDefault="00000000" w:rsidRPr="00000000" w14:paraId="000000E7">
      <w:pPr>
        <w:jc w:val="both"/>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9">
      <w:pPr>
        <w:jc w:val="both"/>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A">
      <w:pPr>
        <w:jc w:val="both"/>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B">
      <w:pPr>
        <w:jc w:val="both"/>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D">
      <w:pPr>
        <w:jc w:val="both"/>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E">
      <w:pPr>
        <w:jc w:val="both"/>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F">
      <w:pPr>
        <w:jc w:val="both"/>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F0">
      <w:pPr>
        <w:jc w:val="both"/>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1">
      <w:pPr>
        <w:jc w:val="both"/>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2">
      <w:pPr>
        <w:jc w:val="both"/>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3">
      <w:pPr>
        <w:jc w:val="both"/>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4">
      <w:pPr>
        <w:jc w:val="both"/>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5">
      <w:pPr>
        <w:jc w:val="both"/>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6">
      <w:pPr>
        <w:jc w:val="both"/>
        <w:rPr>
          <w:rFonts w:ascii="Arial" w:cs="Arial" w:eastAsia="Arial" w:hAnsi="Arial"/>
        </w:rPr>
      </w:pPr>
      <w:r w:rsidDel="00000000" w:rsidR="00000000" w:rsidRPr="00000000">
        <w:rPr>
          <w:rtl w:val="0"/>
        </w:rPr>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8">
      <w:pPr>
        <w:jc w:val="both"/>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9">
      <w:pPr>
        <w:jc w:val="both"/>
        <w:rPr>
          <w:rFonts w:ascii="Arial" w:cs="Arial" w:eastAsia="Arial" w:hAnsi="Arial"/>
        </w:rPr>
      </w:pPr>
      <w:r w:rsidDel="00000000" w:rsidR="00000000" w:rsidRPr="00000000">
        <w:rPr>
          <w:rtl w:val="0"/>
        </w:rPr>
      </w:r>
    </w:p>
    <w:p w:rsidR="00000000" w:rsidDel="00000000" w:rsidP="00000000" w:rsidRDefault="00000000" w:rsidRPr="00000000" w14:paraId="000000FA">
      <w:pPr>
        <w:jc w:val="both"/>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00">
      <w:pPr>
        <w:jc w:val="both"/>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01">
      <w:pPr>
        <w:jc w:val="both"/>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2">
      <w:pPr>
        <w:jc w:val="both"/>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3">
      <w:pPr>
        <w:jc w:val="both"/>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4">
      <w:pPr>
        <w:jc w:val="both"/>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5">
      <w:pPr>
        <w:jc w:val="both"/>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6">
      <w:pPr>
        <w:jc w:val="both"/>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7">
      <w:pPr>
        <w:jc w:val="both"/>
        <w:rPr>
          <w:rFonts w:ascii="Arial" w:cs="Arial" w:eastAsia="Arial" w:hAnsi="Arial"/>
        </w:rPr>
      </w:pPr>
      <w:r w:rsidDel="00000000" w:rsidR="00000000" w:rsidRPr="00000000">
        <w:rPr>
          <w:rtl w:val="0"/>
        </w:rPr>
      </w:r>
    </w:p>
    <w:p w:rsidR="00000000" w:rsidDel="00000000" w:rsidP="00000000" w:rsidRDefault="00000000" w:rsidRPr="00000000" w14:paraId="00000108">
      <w:pPr>
        <w:jc w:val="both"/>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9">
      <w:pPr>
        <w:jc w:val="both"/>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A">
      <w:pPr>
        <w:jc w:val="both"/>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B">
      <w:pPr>
        <w:jc w:val="both"/>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C">
      <w:pPr>
        <w:jc w:val="both"/>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10">
      <w:pPr>
        <w:jc w:val="both"/>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11">
      <w:pPr>
        <w:jc w:val="both"/>
        <w:rPr>
          <w:rFonts w:ascii="Arial" w:cs="Arial" w:eastAsia="Arial" w:hAnsi="Arial"/>
        </w:rPr>
      </w:pPr>
      <w:r w:rsidDel="00000000" w:rsidR="00000000" w:rsidRPr="00000000">
        <w:rPr>
          <w:rtl w:val="0"/>
        </w:rPr>
      </w:r>
    </w:p>
    <w:p w:rsidR="00000000" w:rsidDel="00000000" w:rsidP="00000000" w:rsidRDefault="00000000" w:rsidRPr="00000000" w14:paraId="00000112">
      <w:pPr>
        <w:jc w:val="both"/>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3">
      <w:pPr>
        <w:jc w:val="both"/>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4">
      <w:pPr>
        <w:jc w:val="both"/>
        <w:rPr>
          <w:rFonts w:ascii="Arial" w:cs="Arial" w:eastAsia="Arial" w:hAnsi="Arial"/>
        </w:rPr>
      </w:pPr>
      <w:r w:rsidDel="00000000" w:rsidR="00000000" w:rsidRPr="00000000">
        <w:rPr>
          <w:rtl w:val="0"/>
        </w:rPr>
      </w:r>
    </w:p>
    <w:p w:rsidR="00000000" w:rsidDel="00000000" w:rsidP="00000000" w:rsidRDefault="00000000" w:rsidRPr="00000000" w14:paraId="00000115">
      <w:pPr>
        <w:jc w:val="both"/>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jc w:val="both"/>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jc w:val="both"/>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jc w:val="both"/>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jc w:val="both"/>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jc w:val="both"/>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jc w:val="both"/>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jc w:val="both"/>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jc w:val="both"/>
        <w:rPr>
          <w:rFonts w:ascii="Arial" w:cs="Arial" w:eastAsia="Arial" w:hAnsi="Arial"/>
        </w:rPr>
      </w:pPr>
      <w:r w:rsidDel="00000000" w:rsidR="00000000" w:rsidRPr="00000000">
        <w:rPr>
          <w:rtl w:val="0"/>
        </w:rPr>
      </w:r>
    </w:p>
    <w:p w:rsidR="00000000" w:rsidDel="00000000" w:rsidP="00000000" w:rsidRDefault="00000000" w:rsidRPr="00000000" w14:paraId="0000011E">
      <w:pPr>
        <w:jc w:val="both"/>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jc w:val="both"/>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jc w:val="both"/>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jc w:val="both"/>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jc w:val="both"/>
        <w:rPr>
          <w:rFonts w:ascii="Arial" w:cs="Arial" w:eastAsia="Arial" w:hAnsi="Arial"/>
        </w:rPr>
      </w:pPr>
      <w:r w:rsidDel="00000000" w:rsidR="00000000" w:rsidRPr="00000000">
        <w:rPr>
          <w:rtl w:val="0"/>
        </w:rPr>
      </w:r>
    </w:p>
    <w:p w:rsidR="00000000" w:rsidDel="00000000" w:rsidP="00000000" w:rsidRDefault="00000000" w:rsidRPr="00000000" w14:paraId="00000124">
      <w:pPr>
        <w:jc w:val="both"/>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jc w:val="both"/>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jc w:val="both"/>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jc w:val="both"/>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jc w:val="both"/>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jc w:val="both"/>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jc w:val="both"/>
        <w:rPr>
          <w:rFonts w:ascii="Arial" w:cs="Arial" w:eastAsia="Arial" w:hAnsi="Arial"/>
        </w:rPr>
      </w:pPr>
      <w:r w:rsidDel="00000000" w:rsidR="00000000" w:rsidRPr="00000000">
        <w:rPr>
          <w:rtl w:val="0"/>
        </w:rPr>
      </w:r>
    </w:p>
    <w:p w:rsidR="00000000" w:rsidDel="00000000" w:rsidP="00000000" w:rsidRDefault="00000000" w:rsidRPr="00000000" w14:paraId="0000012F">
      <w:pPr>
        <w:jc w:val="both"/>
        <w:rPr>
          <w:rFonts w:ascii="Arial" w:cs="Arial" w:eastAsia="Arial" w:hAnsi="Arial"/>
        </w:rPr>
      </w:pPr>
      <w:r w:rsidDel="00000000" w:rsidR="00000000" w:rsidRPr="00000000">
        <w:rPr>
          <w:rtl w:val="0"/>
        </w:rPr>
      </w:r>
    </w:p>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jc w:val="both"/>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jc w:val="both"/>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J5i1v04Ry5GcU88Vnva4Bf+PQ==">CgMxLjAyCWguMWZvYjl0ZTIIaC5namRneHMyCWguMzBqMHpsbDgAciExUGN2UkRnZWFlLUhmQ3hCY2pEWnVwVWRXMzBWenNkVGo=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028f29cd0f679004aa6aa53a58cda6884c95af2e928acbbec12425dfb64da728</vt:lpwstr>
  </property>
</Properties>
</file>