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A457532" w:rsidR="00495313" w:rsidRDefault="00000000" w:rsidP="0010148F">
      <w:pPr>
        <w:widowControl w:val="0"/>
        <w:ind w:left="2880" w:firstLine="720"/>
        <w:rPr>
          <w:sz w:val="22"/>
          <w:szCs w:val="22"/>
        </w:rPr>
      </w:pPr>
      <w:r>
        <w:rPr>
          <w:sz w:val="22"/>
          <w:szCs w:val="22"/>
        </w:rPr>
        <w:t xml:space="preserve">Dated: </w:t>
      </w:r>
      <w:r w:rsidR="0010148F">
        <w:rPr>
          <w:sz w:val="22"/>
          <w:szCs w:val="22"/>
        </w:rPr>
        <w:t>6</w:t>
      </w:r>
      <w:r w:rsidR="0010148F" w:rsidRPr="0010148F">
        <w:rPr>
          <w:sz w:val="22"/>
          <w:szCs w:val="22"/>
          <w:vertAlign w:val="superscript"/>
        </w:rPr>
        <w:t>th</w:t>
      </w:r>
      <w:r w:rsidR="0010148F">
        <w:rPr>
          <w:sz w:val="22"/>
          <w:szCs w:val="22"/>
        </w:rPr>
        <w:t xml:space="preserve"> September 2018</w:t>
      </w:r>
    </w:p>
    <w:p w14:paraId="00000002" w14:textId="77777777" w:rsidR="00495313" w:rsidRDefault="00495313">
      <w:pPr>
        <w:jc w:val="center"/>
        <w:rPr>
          <w:b/>
          <w:sz w:val="22"/>
          <w:szCs w:val="22"/>
        </w:rPr>
      </w:pPr>
    </w:p>
    <w:p w14:paraId="00000003" w14:textId="77777777" w:rsidR="00495313" w:rsidRDefault="00495313">
      <w:pPr>
        <w:jc w:val="center"/>
        <w:rPr>
          <w:b/>
          <w:sz w:val="22"/>
          <w:szCs w:val="22"/>
        </w:rPr>
      </w:pPr>
    </w:p>
    <w:p w14:paraId="00000004" w14:textId="77777777" w:rsidR="00495313" w:rsidRDefault="00495313">
      <w:pPr>
        <w:jc w:val="center"/>
        <w:rPr>
          <w:b/>
          <w:sz w:val="22"/>
          <w:szCs w:val="22"/>
        </w:rPr>
      </w:pPr>
    </w:p>
    <w:p w14:paraId="00000005" w14:textId="77777777" w:rsidR="00495313" w:rsidRDefault="00495313">
      <w:pPr>
        <w:jc w:val="center"/>
        <w:rPr>
          <w:b/>
          <w:sz w:val="22"/>
          <w:szCs w:val="22"/>
        </w:rPr>
      </w:pPr>
    </w:p>
    <w:p w14:paraId="00000006" w14:textId="77777777" w:rsidR="00495313" w:rsidRDefault="00495313">
      <w:pPr>
        <w:jc w:val="center"/>
        <w:rPr>
          <w:b/>
          <w:sz w:val="22"/>
          <w:szCs w:val="22"/>
        </w:rPr>
      </w:pPr>
    </w:p>
    <w:p w14:paraId="00000007" w14:textId="77777777" w:rsidR="00495313" w:rsidRDefault="00495313">
      <w:pPr>
        <w:jc w:val="center"/>
        <w:rPr>
          <w:b/>
          <w:sz w:val="22"/>
          <w:szCs w:val="22"/>
        </w:rPr>
      </w:pPr>
    </w:p>
    <w:p w14:paraId="00000008" w14:textId="77777777" w:rsidR="00495313" w:rsidRDefault="00495313">
      <w:pPr>
        <w:jc w:val="center"/>
        <w:rPr>
          <w:b/>
          <w:sz w:val="22"/>
          <w:szCs w:val="22"/>
        </w:rPr>
      </w:pPr>
    </w:p>
    <w:p w14:paraId="00000009" w14:textId="77777777" w:rsidR="00495313" w:rsidRDefault="00495313">
      <w:pPr>
        <w:jc w:val="center"/>
        <w:rPr>
          <w:b/>
          <w:sz w:val="22"/>
          <w:szCs w:val="22"/>
        </w:rPr>
      </w:pPr>
    </w:p>
    <w:p w14:paraId="0000000A" w14:textId="77777777" w:rsidR="00495313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Trust Deed</w:t>
      </w:r>
    </w:p>
    <w:p w14:paraId="0000000B" w14:textId="77777777" w:rsidR="00495313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adopting replacement provisions governing the</w:t>
      </w:r>
    </w:p>
    <w:p w14:paraId="0000000C" w14:textId="6DBA9E79" w:rsidR="00495313" w:rsidRDefault="0010148F">
      <w:pPr>
        <w:jc w:val="center"/>
        <w:rPr>
          <w:color w:val="808080"/>
          <w:sz w:val="22"/>
          <w:szCs w:val="22"/>
        </w:rPr>
      </w:pPr>
      <w:r>
        <w:rPr>
          <w:b/>
          <w:sz w:val="22"/>
          <w:szCs w:val="22"/>
        </w:rPr>
        <w:t>K2H Retirement Scheme</w:t>
      </w:r>
    </w:p>
    <w:p w14:paraId="0000000D" w14:textId="77777777" w:rsidR="00495313" w:rsidRDefault="00495313">
      <w:pPr>
        <w:jc w:val="center"/>
        <w:rPr>
          <w:color w:val="808080"/>
          <w:sz w:val="22"/>
          <w:szCs w:val="22"/>
        </w:rPr>
      </w:pPr>
    </w:p>
    <w:p w14:paraId="0000000E" w14:textId="77777777" w:rsidR="00495313" w:rsidRDefault="00495313">
      <w:pPr>
        <w:jc w:val="center"/>
        <w:rPr>
          <w:color w:val="808080"/>
          <w:sz w:val="22"/>
          <w:szCs w:val="22"/>
        </w:rPr>
      </w:pPr>
    </w:p>
    <w:p w14:paraId="0000000F" w14:textId="77777777" w:rsidR="00495313" w:rsidRDefault="00495313">
      <w:pPr>
        <w:jc w:val="center"/>
        <w:rPr>
          <w:color w:val="808080"/>
          <w:sz w:val="22"/>
          <w:szCs w:val="22"/>
        </w:rPr>
      </w:pPr>
    </w:p>
    <w:p w14:paraId="00000010" w14:textId="77777777" w:rsidR="00495313" w:rsidRDefault="00495313">
      <w:pPr>
        <w:jc w:val="center"/>
        <w:rPr>
          <w:color w:val="808080"/>
          <w:sz w:val="22"/>
          <w:szCs w:val="22"/>
        </w:rPr>
      </w:pPr>
    </w:p>
    <w:p w14:paraId="00000011" w14:textId="77777777" w:rsidR="00495313" w:rsidRDefault="00495313">
      <w:pPr>
        <w:jc w:val="center"/>
        <w:rPr>
          <w:color w:val="808080"/>
          <w:sz w:val="22"/>
          <w:szCs w:val="22"/>
        </w:rPr>
      </w:pPr>
    </w:p>
    <w:p w14:paraId="00000012" w14:textId="77777777" w:rsidR="00495313" w:rsidRDefault="00000000">
      <w:pPr>
        <w:jc w:val="center"/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t xml:space="preserve"> </w:t>
      </w:r>
    </w:p>
    <w:p w14:paraId="00000013" w14:textId="77777777" w:rsidR="00495313" w:rsidRDefault="00000000">
      <w:pPr>
        <w:rPr>
          <w:b/>
          <w:sz w:val="22"/>
          <w:szCs w:val="22"/>
        </w:rPr>
      </w:pPr>
      <w:r>
        <w:br w:type="page"/>
      </w:r>
      <w:r>
        <w:rPr>
          <w:b/>
          <w:sz w:val="22"/>
          <w:szCs w:val="22"/>
        </w:rPr>
        <w:lastRenderedPageBreak/>
        <w:t>Parties</w:t>
      </w:r>
    </w:p>
    <w:p w14:paraId="00000014" w14:textId="77777777" w:rsidR="00495313" w:rsidRDefault="0049531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Arial" w:cs="Arial"/>
          <w:color w:val="000000"/>
          <w:sz w:val="22"/>
          <w:szCs w:val="22"/>
        </w:rPr>
      </w:pPr>
    </w:p>
    <w:p w14:paraId="00000016" w14:textId="7FE0CC76" w:rsidR="00495313" w:rsidRDefault="00CB73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Keys 2 Homes Ltd (Company No </w:t>
      </w:r>
      <w:r w:rsidR="00DD6FD4">
        <w:rPr>
          <w:sz w:val="22"/>
          <w:szCs w:val="22"/>
        </w:rPr>
        <w:t>09059454</w:t>
      </w:r>
      <w:r>
        <w:rPr>
          <w:sz w:val="22"/>
          <w:szCs w:val="22"/>
        </w:rPr>
        <w:t>)</w:t>
      </w:r>
      <w:r w:rsidR="00DD6F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whose registered office is </w:t>
      </w:r>
      <w:r w:rsidR="00602D21">
        <w:rPr>
          <w:sz w:val="22"/>
          <w:szCs w:val="22"/>
        </w:rPr>
        <w:t xml:space="preserve">situated at </w:t>
      </w:r>
      <w:r w:rsidR="00025313" w:rsidRPr="00025313">
        <w:rPr>
          <w:sz w:val="22"/>
          <w:szCs w:val="22"/>
        </w:rPr>
        <w:t>11 Boundary Business Park</w:t>
      </w:r>
      <w:r w:rsidR="00B23A82">
        <w:rPr>
          <w:sz w:val="22"/>
          <w:szCs w:val="22"/>
        </w:rPr>
        <w:t>,</w:t>
      </w:r>
      <w:r w:rsidR="00025313" w:rsidRPr="00025313">
        <w:rPr>
          <w:sz w:val="22"/>
          <w:szCs w:val="22"/>
        </w:rPr>
        <w:t xml:space="preserve"> Wheatley Road</w:t>
      </w:r>
      <w:r w:rsidR="00B23A82">
        <w:rPr>
          <w:sz w:val="22"/>
          <w:szCs w:val="22"/>
        </w:rPr>
        <w:t>,</w:t>
      </w:r>
      <w:r w:rsidR="00025313" w:rsidRPr="00025313">
        <w:rPr>
          <w:sz w:val="22"/>
          <w:szCs w:val="22"/>
        </w:rPr>
        <w:t xml:space="preserve"> Garsington</w:t>
      </w:r>
      <w:r w:rsidR="00B23A82">
        <w:rPr>
          <w:sz w:val="22"/>
          <w:szCs w:val="22"/>
        </w:rPr>
        <w:t>,</w:t>
      </w:r>
      <w:r w:rsidR="00025313" w:rsidRPr="00025313">
        <w:rPr>
          <w:sz w:val="22"/>
          <w:szCs w:val="22"/>
        </w:rPr>
        <w:t xml:space="preserve"> Oxfordshire OX44 9EJ </w:t>
      </w:r>
      <w:r>
        <w:rPr>
          <w:sz w:val="22"/>
          <w:szCs w:val="22"/>
        </w:rPr>
        <w:t xml:space="preserve">(the </w:t>
      </w:r>
      <w:r w:rsidR="00E40449">
        <w:rPr>
          <w:sz w:val="22"/>
          <w:szCs w:val="22"/>
        </w:rPr>
        <w:t>“</w:t>
      </w:r>
      <w:r>
        <w:rPr>
          <w:b/>
          <w:sz w:val="22"/>
          <w:szCs w:val="22"/>
        </w:rPr>
        <w:t>Principal Employer</w:t>
      </w:r>
      <w:r w:rsidR="00E40449">
        <w:rPr>
          <w:sz w:val="22"/>
          <w:szCs w:val="22"/>
        </w:rPr>
        <w:t>”</w:t>
      </w:r>
      <w:r>
        <w:rPr>
          <w:sz w:val="22"/>
          <w:szCs w:val="22"/>
        </w:rPr>
        <w:t>)</w:t>
      </w:r>
      <w:r w:rsidR="00E40449">
        <w:rPr>
          <w:sz w:val="22"/>
          <w:szCs w:val="22"/>
        </w:rPr>
        <w:t>.</w:t>
      </w:r>
    </w:p>
    <w:p w14:paraId="00000017" w14:textId="77777777" w:rsidR="00495313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Recitals</w:t>
      </w:r>
    </w:p>
    <w:p w14:paraId="00000018" w14:textId="0F6D71E1" w:rsidR="00495313" w:rsidRDefault="00E404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>K2H Retirement Scheme (the “</w:t>
      </w:r>
      <w:r>
        <w:rPr>
          <w:b/>
          <w:sz w:val="22"/>
          <w:szCs w:val="22"/>
        </w:rPr>
        <w:t>Scheme</w:t>
      </w:r>
      <w:r>
        <w:rPr>
          <w:sz w:val="22"/>
          <w:szCs w:val="22"/>
        </w:rPr>
        <w:t xml:space="preserve">”) is a pension scheme which is currently governed by a Definitive Trust Deed and Rules dated </w:t>
      </w:r>
      <w:r w:rsidR="00F25E53">
        <w:rPr>
          <w:sz w:val="22"/>
          <w:szCs w:val="22"/>
        </w:rPr>
        <w:t>14 May 2016</w:t>
      </w:r>
      <w:r>
        <w:rPr>
          <w:sz w:val="22"/>
          <w:szCs w:val="22"/>
        </w:rPr>
        <w:t xml:space="preserve"> </w:t>
      </w:r>
      <w:r>
        <w:rPr>
          <w:rFonts w:eastAsia="Arial" w:cs="Arial"/>
          <w:color w:val="000000"/>
          <w:sz w:val="22"/>
          <w:szCs w:val="22"/>
        </w:rPr>
        <w:t xml:space="preserve">(the </w:t>
      </w:r>
      <w:r w:rsidR="00CF7376">
        <w:rPr>
          <w:rFonts w:eastAsia="Arial" w:cs="Arial"/>
          <w:color w:val="000000"/>
          <w:sz w:val="22"/>
          <w:szCs w:val="22"/>
        </w:rPr>
        <w:t>“</w:t>
      </w:r>
      <w:r>
        <w:rPr>
          <w:b/>
          <w:color w:val="000000"/>
          <w:sz w:val="22"/>
          <w:szCs w:val="22"/>
        </w:rPr>
        <w:t>Existing Provisions</w:t>
      </w:r>
      <w:r w:rsidR="00CF7376">
        <w:rPr>
          <w:rFonts w:eastAsia="Arial" w:cs="Arial"/>
          <w:color w:val="000000"/>
          <w:sz w:val="22"/>
          <w:szCs w:val="22"/>
        </w:rPr>
        <w:t>”</w:t>
      </w:r>
      <w:r>
        <w:rPr>
          <w:rFonts w:eastAsia="Arial" w:cs="Arial"/>
          <w:color w:val="000000"/>
          <w:sz w:val="22"/>
          <w:szCs w:val="22"/>
        </w:rPr>
        <w:t>).</w:t>
      </w:r>
      <w:r>
        <w:rPr>
          <w:rFonts w:eastAsia="Arial" w:cs="Arial"/>
          <w:color w:val="000000"/>
          <w:sz w:val="22"/>
          <w:szCs w:val="22"/>
        </w:rPr>
        <w:br/>
      </w:r>
    </w:p>
    <w:p w14:paraId="14572791" w14:textId="79B55249" w:rsidR="008D3078" w:rsidRPr="008D3078" w:rsidRDefault="00000000" w:rsidP="008D30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2"/>
          <w:szCs w:val="22"/>
        </w:rPr>
      </w:pPr>
      <w:bookmarkStart w:id="1" w:name="_heading=h.1dh9qay68gcl" w:colFirst="0" w:colLast="0"/>
      <w:bookmarkStart w:id="2" w:name="_heading=h.cn3w8bl6ba7x" w:colFirst="0" w:colLast="0"/>
      <w:bookmarkEnd w:id="1"/>
      <w:bookmarkEnd w:id="2"/>
      <w:r>
        <w:rPr>
          <w:rFonts w:eastAsia="Arial" w:cs="Arial"/>
          <w:color w:val="000000"/>
          <w:sz w:val="22"/>
          <w:szCs w:val="22"/>
        </w:rPr>
        <w:t>It is intended to replace the Existing Provisions in their entirety.</w:t>
      </w:r>
      <w:r w:rsidR="00D4794E">
        <w:rPr>
          <w:rFonts w:eastAsia="Arial" w:cs="Arial"/>
          <w:color w:val="000000"/>
          <w:sz w:val="22"/>
          <w:szCs w:val="22"/>
        </w:rPr>
        <w:br/>
      </w:r>
    </w:p>
    <w:p w14:paraId="0000001C" w14:textId="197DA62D" w:rsidR="00495313" w:rsidRPr="00C33165" w:rsidRDefault="00730879" w:rsidP="00C331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Rule 3.1 states that </w:t>
      </w:r>
      <w:r w:rsidR="00C33165">
        <w:rPr>
          <w:rFonts w:eastAsia="Arial" w:cs="Arial"/>
          <w:color w:val="000000"/>
          <w:sz w:val="22"/>
          <w:szCs w:val="22"/>
        </w:rPr>
        <w:t>“</w:t>
      </w:r>
      <w:r w:rsidR="00C33165" w:rsidRPr="00C33165">
        <w:rPr>
          <w:rFonts w:eastAsia="Arial" w:cs="Arial"/>
          <w:color w:val="000000"/>
          <w:sz w:val="22"/>
          <w:szCs w:val="22"/>
        </w:rPr>
        <w:t>The persons specified for this purpose in the Adopting Deed may at any time by deed</w:t>
      </w:r>
      <w:r w:rsidR="00C33165">
        <w:rPr>
          <w:rFonts w:eastAsia="Arial" w:cs="Arial"/>
          <w:color w:val="000000"/>
          <w:sz w:val="22"/>
          <w:szCs w:val="22"/>
        </w:rPr>
        <w:t xml:space="preserve"> </w:t>
      </w:r>
      <w:r w:rsidR="00C33165" w:rsidRPr="00C33165">
        <w:rPr>
          <w:rFonts w:eastAsia="Arial" w:cs="Arial"/>
          <w:color w:val="000000"/>
          <w:sz w:val="22"/>
          <w:szCs w:val="22"/>
        </w:rPr>
        <w:t>modify delete or add to all or any of the provisions of the Rules with retrospective</w:t>
      </w:r>
      <w:r w:rsidR="00C33165">
        <w:rPr>
          <w:rFonts w:eastAsia="Arial" w:cs="Arial"/>
          <w:color w:val="000000"/>
          <w:sz w:val="22"/>
          <w:szCs w:val="22"/>
        </w:rPr>
        <w:t xml:space="preserve"> </w:t>
      </w:r>
      <w:r w:rsidR="00C33165" w:rsidRPr="00C33165">
        <w:rPr>
          <w:rFonts w:eastAsia="Arial" w:cs="Arial"/>
          <w:color w:val="000000"/>
          <w:sz w:val="22"/>
          <w:szCs w:val="22"/>
        </w:rPr>
        <w:t>immediate or future effect, subject only to any restrictions imposed by the Adopting Deed</w:t>
      </w:r>
      <w:r w:rsidR="00C33165">
        <w:rPr>
          <w:rFonts w:eastAsia="Arial" w:cs="Arial"/>
          <w:color w:val="000000"/>
          <w:sz w:val="22"/>
          <w:szCs w:val="22"/>
        </w:rPr>
        <w:t xml:space="preserve"> </w:t>
      </w:r>
      <w:r w:rsidR="00C33165" w:rsidRPr="00C33165">
        <w:rPr>
          <w:rFonts w:eastAsia="Arial" w:cs="Arial"/>
          <w:color w:val="000000"/>
          <w:sz w:val="22"/>
          <w:szCs w:val="22"/>
        </w:rPr>
        <w:t>and section 67 of the Pensions Act 1995</w:t>
      </w:r>
      <w:r w:rsidR="0012535B">
        <w:rPr>
          <w:rFonts w:eastAsia="Arial" w:cs="Arial"/>
          <w:color w:val="000000"/>
          <w:sz w:val="22"/>
          <w:szCs w:val="22"/>
        </w:rPr>
        <w:t>.”</w:t>
      </w:r>
      <w:r w:rsidRPr="00C33165">
        <w:rPr>
          <w:rFonts w:eastAsia="Arial" w:cs="Arial"/>
          <w:color w:val="000000"/>
          <w:sz w:val="22"/>
          <w:szCs w:val="22"/>
        </w:rPr>
        <w:br/>
      </w:r>
    </w:p>
    <w:p w14:paraId="0000001D" w14:textId="4F678AB5" w:rsidR="00495313" w:rsidRDefault="008572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The “persons specified for this purpose in the Adopting Deed”</w:t>
      </w:r>
      <w:r w:rsidR="00184F8B">
        <w:rPr>
          <w:sz w:val="22"/>
          <w:szCs w:val="22"/>
        </w:rPr>
        <w:t xml:space="preserve"> is defined in the Existing Provisions as the Principal Employer. </w:t>
      </w:r>
    </w:p>
    <w:p w14:paraId="0000001E" w14:textId="77777777" w:rsidR="00495313" w:rsidRDefault="0049531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2"/>
          <w:szCs w:val="22"/>
          <w:highlight w:val="yellow"/>
        </w:rPr>
      </w:pPr>
    </w:p>
    <w:p w14:paraId="0000001F" w14:textId="77777777" w:rsidR="00495313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Operative provisions</w:t>
      </w:r>
    </w:p>
    <w:p w14:paraId="00000020" w14:textId="7144DDBE" w:rsidR="0049531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after="0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Pursuant to </w:t>
      </w:r>
      <w:r w:rsidR="00184F8B">
        <w:rPr>
          <w:rFonts w:eastAsia="Arial" w:cs="Arial"/>
          <w:color w:val="000000"/>
          <w:sz w:val="22"/>
          <w:szCs w:val="22"/>
        </w:rPr>
        <w:t xml:space="preserve">clause 3.1 of </w:t>
      </w:r>
      <w:r>
        <w:rPr>
          <w:rFonts w:eastAsia="Arial" w:cs="Arial"/>
          <w:color w:val="000000"/>
          <w:sz w:val="22"/>
          <w:szCs w:val="22"/>
        </w:rPr>
        <w:t xml:space="preserve">the Existing Provisions, those Existing Provisions shall cease to have effect and the Scheme shall be governed by the attached Rules. </w:t>
      </w:r>
    </w:p>
    <w:p w14:paraId="4A3A3E1C" w14:textId="77777777" w:rsidR="001A4A48" w:rsidRDefault="001A4A48" w:rsidP="001A4A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after="0"/>
        <w:ind w:left="720"/>
        <w:rPr>
          <w:rFonts w:eastAsia="Arial" w:cs="Arial"/>
          <w:color w:val="000000"/>
          <w:sz w:val="22"/>
          <w:szCs w:val="22"/>
        </w:rPr>
      </w:pPr>
    </w:p>
    <w:p w14:paraId="0A0720C7" w14:textId="77777777" w:rsidR="00E758A9" w:rsidRDefault="00E758A9" w:rsidP="00E758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after="0"/>
        <w:rPr>
          <w:rFonts w:eastAsia="Arial" w:cs="Arial"/>
          <w:color w:val="000000"/>
          <w:sz w:val="22"/>
          <w:szCs w:val="22"/>
        </w:rPr>
      </w:pPr>
    </w:p>
    <w:p w14:paraId="522FE01D" w14:textId="08F8E7D0" w:rsidR="00E758A9" w:rsidRPr="00731DA5" w:rsidRDefault="00E758A9" w:rsidP="001A4A48">
      <w:pPr>
        <w:pStyle w:val="NormalWeb"/>
        <w:spacing w:before="0" w:beforeAutospacing="0" w:after="240" w:afterAutospacing="0"/>
        <w:ind w:left="360" w:firstLine="360"/>
        <w:jc w:val="both"/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  <w:r w:rsidRPr="00731DA5">
        <w:rPr>
          <w:rFonts w:ascii="Arial" w:eastAsia="Arial" w:hAnsi="Arial" w:cs="Arial"/>
          <w:color w:val="000000"/>
          <w:sz w:val="22"/>
          <w:szCs w:val="22"/>
        </w:rPr>
        <w:t>PROVIDED THAT:</w:t>
      </w:r>
    </w:p>
    <w:p w14:paraId="11B592C1" w14:textId="6F998CA2" w:rsidR="00E758A9" w:rsidRDefault="00E758A9" w:rsidP="004008E5">
      <w:pPr>
        <w:pStyle w:val="NormalWeb"/>
        <w:numPr>
          <w:ilvl w:val="1"/>
          <w:numId w:val="6"/>
        </w:numPr>
        <w:spacing w:before="0" w:beforeAutospacing="0" w:after="240" w:afterAutospacing="0"/>
        <w:ind w:left="2552"/>
        <w:jc w:val="both"/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  <w:r w:rsidRPr="00731DA5">
        <w:rPr>
          <w:rFonts w:ascii="Arial" w:eastAsia="Arial" w:hAnsi="Arial" w:cs="Arial"/>
          <w:color w:val="000000"/>
          <w:sz w:val="22"/>
          <w:szCs w:val="22"/>
        </w:rPr>
        <w:t>the power in Rule 3.1 (Power of Amendment) may be exercised by the Principal Employer</w:t>
      </w:r>
    </w:p>
    <w:p w14:paraId="00000023" w14:textId="72A809FB" w:rsidR="00495313" w:rsidRPr="00F019FE" w:rsidRDefault="00E758A9" w:rsidP="004008E5">
      <w:pPr>
        <w:pStyle w:val="NormalWeb"/>
        <w:numPr>
          <w:ilvl w:val="1"/>
          <w:numId w:val="6"/>
        </w:numPr>
        <w:spacing w:before="0" w:beforeAutospacing="0" w:after="240" w:afterAutospacing="0"/>
        <w:ind w:left="2552"/>
        <w:jc w:val="both"/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  <w:r w:rsidRPr="00F019FE">
        <w:rPr>
          <w:rFonts w:ascii="Arial" w:eastAsia="Arial" w:hAnsi="Arial" w:cs="Arial"/>
          <w:color w:val="000000"/>
          <w:sz w:val="22"/>
          <w:szCs w:val="22"/>
        </w:rPr>
        <w:t>the power in Rule 4.1 (</w:t>
      </w:r>
      <w:r w:rsidR="00162F20" w:rsidRPr="00F019FE">
        <w:rPr>
          <w:rFonts w:ascii="Arial" w:eastAsia="Arial" w:hAnsi="Arial" w:cs="Arial"/>
          <w:color w:val="000000"/>
          <w:sz w:val="22"/>
          <w:szCs w:val="22"/>
        </w:rPr>
        <w:t xml:space="preserve">Power of </w:t>
      </w:r>
      <w:r w:rsidRPr="00F019FE">
        <w:rPr>
          <w:rFonts w:ascii="Arial" w:eastAsia="Arial" w:hAnsi="Arial" w:cs="Arial"/>
          <w:color w:val="000000"/>
          <w:sz w:val="22"/>
          <w:szCs w:val="22"/>
        </w:rPr>
        <w:t>Appointment and Removal of Trustees) may be exercised by the Principal Employer.</w:t>
      </w:r>
    </w:p>
    <w:p w14:paraId="00000027" w14:textId="77777777" w:rsidR="00495313" w:rsidRDefault="00495313" w:rsidP="00184F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after="0"/>
        <w:rPr>
          <w:rFonts w:eastAsia="Arial" w:cs="Arial"/>
          <w:color w:val="000000"/>
          <w:sz w:val="22"/>
          <w:szCs w:val="22"/>
        </w:rPr>
      </w:pPr>
    </w:p>
    <w:p w14:paraId="00000028" w14:textId="77777777" w:rsidR="00495313" w:rsidRPr="00731D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Arial" w:cs="Arial"/>
          <w:color w:val="000000"/>
          <w:sz w:val="22"/>
          <w:szCs w:val="22"/>
        </w:rPr>
      </w:pPr>
      <w:r w:rsidRPr="00731DA5">
        <w:rPr>
          <w:rFonts w:eastAsia="Arial" w:cs="Arial"/>
          <w:color w:val="000000"/>
          <w:sz w:val="22"/>
          <w:szCs w:val="22"/>
        </w:rPr>
        <w:t>The provisions of this deed shall have effect on and from its date.</w:t>
      </w:r>
    </w:p>
    <w:p w14:paraId="00000029" w14:textId="77777777" w:rsidR="00495313" w:rsidRPr="00731DA5" w:rsidRDefault="00495313">
      <w:pPr>
        <w:spacing w:after="0"/>
        <w:jc w:val="left"/>
        <w:rPr>
          <w:rFonts w:eastAsia="Arial" w:cs="Arial"/>
          <w:color w:val="000000"/>
          <w:sz w:val="22"/>
          <w:szCs w:val="22"/>
        </w:rPr>
      </w:pPr>
    </w:p>
    <w:p w14:paraId="0000002A" w14:textId="77777777" w:rsidR="00495313" w:rsidRPr="00731DA5" w:rsidRDefault="00495313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Arial" w:cs="Arial"/>
          <w:color w:val="000000"/>
          <w:sz w:val="22"/>
          <w:szCs w:val="22"/>
        </w:rPr>
      </w:pPr>
    </w:p>
    <w:p w14:paraId="0000002B" w14:textId="69501E8E" w:rsidR="00495313" w:rsidRPr="00731DA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Arial" w:cs="Arial"/>
          <w:color w:val="000000"/>
          <w:sz w:val="22"/>
          <w:szCs w:val="22"/>
        </w:rPr>
      </w:pPr>
      <w:r w:rsidRPr="00731DA5">
        <w:rPr>
          <w:rFonts w:eastAsia="Arial" w:cs="Arial"/>
          <w:color w:val="000000"/>
          <w:sz w:val="22"/>
          <w:szCs w:val="22"/>
        </w:rPr>
        <w:t xml:space="preserve">IN WITNESS OF WHICH this document is executed as a </w:t>
      </w:r>
      <w:r w:rsidR="002D70C3">
        <w:rPr>
          <w:rFonts w:eastAsia="Arial" w:cs="Arial"/>
          <w:color w:val="000000"/>
          <w:sz w:val="22"/>
          <w:szCs w:val="22"/>
        </w:rPr>
        <w:t>d</w:t>
      </w:r>
      <w:r w:rsidRPr="00731DA5">
        <w:rPr>
          <w:rFonts w:eastAsia="Arial" w:cs="Arial"/>
          <w:color w:val="000000"/>
          <w:sz w:val="22"/>
          <w:szCs w:val="22"/>
        </w:rPr>
        <w:t>eed and is delivered on the date stated above.</w:t>
      </w:r>
    </w:p>
    <w:p w14:paraId="1B569A57" w14:textId="77777777" w:rsidR="004116BF" w:rsidRDefault="004116BF">
      <w:pPr>
        <w:spacing w:before="150" w:after="0"/>
        <w:rPr>
          <w:sz w:val="22"/>
          <w:szCs w:val="22"/>
        </w:rPr>
      </w:pPr>
    </w:p>
    <w:p w14:paraId="14928E80" w14:textId="77777777" w:rsidR="004116BF" w:rsidRDefault="004116BF">
      <w:pPr>
        <w:spacing w:before="150" w:after="0"/>
        <w:rPr>
          <w:sz w:val="22"/>
          <w:szCs w:val="22"/>
        </w:rPr>
      </w:pPr>
    </w:p>
    <w:p w14:paraId="7C766A9A" w14:textId="77777777" w:rsidR="004116BF" w:rsidRDefault="004116BF">
      <w:pPr>
        <w:spacing w:before="150" w:after="0"/>
        <w:rPr>
          <w:sz w:val="22"/>
          <w:szCs w:val="22"/>
        </w:rPr>
      </w:pPr>
    </w:p>
    <w:p w14:paraId="0CC8A87C" w14:textId="77777777" w:rsidR="004116BF" w:rsidRDefault="004116BF">
      <w:pPr>
        <w:spacing w:before="150" w:after="0"/>
        <w:rPr>
          <w:sz w:val="22"/>
          <w:szCs w:val="22"/>
        </w:rPr>
      </w:pPr>
    </w:p>
    <w:p w14:paraId="00000057" w14:textId="77777777" w:rsidR="00495313" w:rsidRDefault="00495313">
      <w:pPr>
        <w:jc w:val="left"/>
        <w:rPr>
          <w:color w:val="050300"/>
          <w:sz w:val="22"/>
          <w:szCs w:val="22"/>
        </w:rPr>
      </w:pPr>
    </w:p>
    <w:p w14:paraId="00000058" w14:textId="77777777" w:rsidR="00495313" w:rsidRDefault="00000000">
      <w:pPr>
        <w:jc w:val="left"/>
        <w:rPr>
          <w:sz w:val="22"/>
          <w:szCs w:val="22"/>
        </w:rPr>
      </w:pPr>
      <w:r>
        <w:rPr>
          <w:color w:val="050300"/>
          <w:sz w:val="22"/>
          <w:szCs w:val="22"/>
        </w:rPr>
        <w:lastRenderedPageBreak/>
        <w:br/>
      </w:r>
    </w:p>
    <w:sectPr w:rsidR="00495313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6AD4"/>
    <w:multiLevelType w:val="multilevel"/>
    <w:tmpl w:val="35EA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E4767"/>
    <w:multiLevelType w:val="multilevel"/>
    <w:tmpl w:val="B9CC478A"/>
    <w:lvl w:ilvl="0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75B17"/>
    <w:multiLevelType w:val="multilevel"/>
    <w:tmpl w:val="B41406C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70581"/>
    <w:multiLevelType w:val="multilevel"/>
    <w:tmpl w:val="C2B88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7915774B"/>
    <w:multiLevelType w:val="multilevel"/>
    <w:tmpl w:val="87926648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Leve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Leve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Level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1C6294"/>
    <w:multiLevelType w:val="multilevel"/>
    <w:tmpl w:val="3006B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50665">
    <w:abstractNumId w:val="5"/>
  </w:num>
  <w:num w:numId="2" w16cid:durableId="1606574744">
    <w:abstractNumId w:val="2"/>
  </w:num>
  <w:num w:numId="3" w16cid:durableId="36123637">
    <w:abstractNumId w:val="1"/>
  </w:num>
  <w:num w:numId="4" w16cid:durableId="634682182">
    <w:abstractNumId w:val="4"/>
  </w:num>
  <w:num w:numId="5" w16cid:durableId="980887001">
    <w:abstractNumId w:val="0"/>
  </w:num>
  <w:num w:numId="6" w16cid:durableId="1130515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13"/>
    <w:rsid w:val="00025313"/>
    <w:rsid w:val="0010148F"/>
    <w:rsid w:val="0012535B"/>
    <w:rsid w:val="00162F20"/>
    <w:rsid w:val="00184F8B"/>
    <w:rsid w:val="001A4A48"/>
    <w:rsid w:val="002D70C3"/>
    <w:rsid w:val="004008E5"/>
    <w:rsid w:val="004116BF"/>
    <w:rsid w:val="00495313"/>
    <w:rsid w:val="00514AA6"/>
    <w:rsid w:val="00602D21"/>
    <w:rsid w:val="00730879"/>
    <w:rsid w:val="00731DA5"/>
    <w:rsid w:val="00857230"/>
    <w:rsid w:val="008D3078"/>
    <w:rsid w:val="00A05CC7"/>
    <w:rsid w:val="00B23A82"/>
    <w:rsid w:val="00C33165"/>
    <w:rsid w:val="00CB73EE"/>
    <w:rsid w:val="00CF7376"/>
    <w:rsid w:val="00D4794E"/>
    <w:rsid w:val="00DD6FD4"/>
    <w:rsid w:val="00E40449"/>
    <w:rsid w:val="00E758A9"/>
    <w:rsid w:val="00F019FE"/>
    <w:rsid w:val="00F25E53"/>
    <w:rsid w:val="00F8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646F"/>
  <w15:docId w15:val="{7793AFB2-DFF7-4C8E-A1B8-29C73D68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C3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4"/>
      </w:numPr>
      <w:spacing w:after="0" w:line="360" w:lineRule="auto"/>
    </w:pPr>
    <w:rPr>
      <w:rFonts w:ascii="Times New Roman" w:hAnsi="Times New Roman"/>
      <w:b/>
      <w:sz w:val="23"/>
      <w:u w:val="single"/>
    </w:rPr>
  </w:style>
  <w:style w:type="paragraph" w:customStyle="1" w:styleId="Level2">
    <w:name w:val="Level 2"/>
    <w:basedOn w:val="Normal"/>
    <w:rsid w:val="00C3590D"/>
    <w:pPr>
      <w:numPr>
        <w:ilvl w:val="1"/>
        <w:numId w:val="4"/>
      </w:numPr>
      <w:tabs>
        <w:tab w:val="num" w:pos="1080"/>
      </w:tabs>
      <w:spacing w:after="0" w:line="360" w:lineRule="auto"/>
      <w:ind w:left="1080"/>
    </w:pPr>
    <w:rPr>
      <w:rFonts w:ascii="Times New Roman" w:hAnsi="Times New Roman"/>
      <w:sz w:val="23"/>
    </w:rPr>
  </w:style>
  <w:style w:type="paragraph" w:customStyle="1" w:styleId="Level3">
    <w:name w:val="Level 3"/>
    <w:basedOn w:val="Normal"/>
    <w:rsid w:val="00C3590D"/>
    <w:pPr>
      <w:numPr>
        <w:ilvl w:val="2"/>
        <w:numId w:val="4"/>
      </w:numPr>
      <w:spacing w:after="0" w:line="360" w:lineRule="auto"/>
    </w:pPr>
    <w:rPr>
      <w:rFonts w:ascii="Times New Roman" w:hAnsi="Times New Roman"/>
      <w:sz w:val="23"/>
    </w:rPr>
  </w:style>
  <w:style w:type="paragraph" w:customStyle="1" w:styleId="Level4">
    <w:name w:val="Level 4"/>
    <w:basedOn w:val="Normal"/>
    <w:rsid w:val="00C3590D"/>
    <w:pPr>
      <w:numPr>
        <w:ilvl w:val="3"/>
        <w:numId w:val="4"/>
      </w:numPr>
      <w:spacing w:after="120" w:line="360" w:lineRule="auto"/>
    </w:pPr>
    <w:rPr>
      <w:rFonts w:ascii="Times New Roman" w:hAnsi="Times New Roman"/>
      <w:sz w:val="23"/>
    </w:rPr>
  </w:style>
  <w:style w:type="paragraph" w:customStyle="1" w:styleId="Level5">
    <w:name w:val="Level 5"/>
    <w:basedOn w:val="Normal"/>
    <w:rsid w:val="00C3590D"/>
    <w:pPr>
      <w:numPr>
        <w:ilvl w:val="4"/>
        <w:numId w:val="4"/>
      </w:numPr>
      <w:spacing w:after="120" w:line="360" w:lineRule="auto"/>
    </w:pPr>
    <w:rPr>
      <w:rFonts w:ascii="Times New Roman" w:hAnsi="Times New Roman"/>
      <w:sz w:val="23"/>
    </w:rPr>
  </w:style>
  <w:style w:type="paragraph" w:customStyle="1" w:styleId="Level6">
    <w:name w:val="Level 6"/>
    <w:basedOn w:val="Normal"/>
    <w:rsid w:val="00C3590D"/>
    <w:pPr>
      <w:numPr>
        <w:ilvl w:val="5"/>
        <w:numId w:val="4"/>
      </w:numPr>
      <w:spacing w:after="120" w:line="360" w:lineRule="auto"/>
    </w:pPr>
    <w:rPr>
      <w:rFonts w:ascii="Times New Roman" w:hAnsi="Times New Roman"/>
      <w:sz w:val="23"/>
    </w:rPr>
  </w:style>
  <w:style w:type="paragraph" w:customStyle="1" w:styleId="Level7">
    <w:name w:val="Level 7"/>
    <w:basedOn w:val="Normal"/>
    <w:rsid w:val="00C3590D"/>
    <w:pPr>
      <w:numPr>
        <w:ilvl w:val="6"/>
        <w:numId w:val="4"/>
      </w:numPr>
      <w:spacing w:after="120" w:line="360" w:lineRule="auto"/>
    </w:pPr>
    <w:rPr>
      <w:rFonts w:ascii="Times New Roman" w:hAnsi="Times New Roman"/>
      <w:sz w:val="23"/>
    </w:rPr>
  </w:style>
  <w:style w:type="paragraph" w:customStyle="1" w:styleId="Level8">
    <w:name w:val="Level 8"/>
    <w:basedOn w:val="Normal"/>
    <w:rsid w:val="00C3590D"/>
    <w:pPr>
      <w:numPr>
        <w:ilvl w:val="7"/>
        <w:numId w:val="4"/>
      </w:numPr>
      <w:spacing w:after="120" w:line="360" w:lineRule="auto"/>
    </w:pPr>
    <w:rPr>
      <w:rFonts w:ascii="Times New Roman" w:hAnsi="Times New Roman"/>
      <w:sz w:val="23"/>
    </w:rPr>
  </w:style>
  <w:style w:type="paragraph" w:customStyle="1" w:styleId="Level9">
    <w:name w:val="Level 9"/>
    <w:basedOn w:val="Normal"/>
    <w:rsid w:val="00C3590D"/>
    <w:pPr>
      <w:numPr>
        <w:ilvl w:val="8"/>
        <w:numId w:val="4"/>
      </w:numPr>
      <w:spacing w:after="120" w:line="360" w:lineRule="auto"/>
    </w:pPr>
    <w:rPr>
      <w:rFonts w:ascii="Times New Roman" w:hAnsi="Times New Roman"/>
      <w:sz w:val="23"/>
    </w:rPr>
  </w:style>
  <w:style w:type="character" w:styleId="Strong">
    <w:name w:val="Strong"/>
    <w:basedOn w:val="DefaultParagraphFont"/>
    <w:uiPriority w:val="22"/>
    <w:qFormat/>
    <w:rsid w:val="00D25082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758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DBR4Z2Ki0Xqsgye1VEBqcSmtFg==">AMUW2mWTYFPC53kjPSLQkK6SS13TazYJgZZrE9lks+MFkAnL1hH4js4ux8yVDfhopxuDnoK6ANMqudzl8kpxBjX1g/thC1HwaJi4/jHh2JqGbEn3QpCgVvGyHgAq832Kundzyvq3c2LuKFwO3h8i00mj7CcXyt48Vn0b4IyCagf8aOoZZ/JsmBE=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Wolf Smith</cp:lastModifiedBy>
  <cp:revision>27</cp:revision>
  <cp:lastPrinted>2023-05-04T13:03:00Z</cp:lastPrinted>
  <dcterms:created xsi:type="dcterms:W3CDTF">2023-05-04T12:41:00Z</dcterms:created>
  <dcterms:modified xsi:type="dcterms:W3CDTF">2023-05-04T13:12:00Z</dcterms:modified>
</cp:coreProperties>
</file>