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34" w:rsidRDefault="00955834" w:rsidP="00292112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PERSONAL GUARANTEE OF THE DIRECTOR</w:t>
      </w:r>
      <w:r w:rsidR="002502D7">
        <w:rPr>
          <w:rFonts w:ascii="Arial-BoldMT" w:hAnsi="Arial-BoldMT" w:cs="Arial-BoldMT"/>
          <w:b/>
          <w:bCs/>
        </w:rPr>
        <w:t>S</w:t>
      </w:r>
      <w:r>
        <w:rPr>
          <w:rFonts w:ascii="Arial-BoldMT" w:hAnsi="Arial-BoldMT" w:cs="Arial-BoldMT"/>
          <w:b/>
          <w:bCs/>
        </w:rPr>
        <w:t xml:space="preserve"> OF </w:t>
      </w:r>
      <w:r w:rsidR="00682547">
        <w:rPr>
          <w:rFonts w:ascii="Arial-BoldMT" w:hAnsi="Arial-BoldMT" w:cs="Arial-BoldMT"/>
          <w:b/>
          <w:bCs/>
        </w:rPr>
        <w:t>SAPPHIRE FINANCIAL SOLUTIONS LTD</w:t>
      </w:r>
      <w:r>
        <w:rPr>
          <w:rFonts w:ascii="Arial-BoldMT" w:hAnsi="Arial-BoldMT" w:cs="Arial-BoldMT"/>
          <w:b/>
          <w:bCs/>
        </w:rPr>
        <w:t xml:space="preserve"> IN FAVOUR OF </w:t>
      </w:r>
      <w:r w:rsidR="00682547">
        <w:rPr>
          <w:rFonts w:ascii="Arial-BoldMT" w:hAnsi="Arial-BoldMT" w:cs="Arial-BoldMT"/>
          <w:b/>
          <w:bCs/>
        </w:rPr>
        <w:t>JOHN GARVEY PENSION SCHEME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Dated </w:t>
      </w:r>
      <w:r w:rsidR="00292112">
        <w:rPr>
          <w:rFonts w:ascii="ArialMT" w:hAnsi="ArialMT" w:cs="ArialMT"/>
        </w:rPr>
        <w:t>16/0</w:t>
      </w:r>
      <w:r w:rsidR="00682547">
        <w:rPr>
          <w:rFonts w:ascii="ArialMT" w:hAnsi="ArialMT" w:cs="ArialMT"/>
        </w:rPr>
        <w:t>6</w:t>
      </w:r>
      <w:r w:rsidR="00292112">
        <w:rPr>
          <w:rFonts w:ascii="ArialMT" w:hAnsi="ArialMT" w:cs="ArialMT"/>
        </w:rPr>
        <w:t>/201</w:t>
      </w:r>
      <w:r w:rsidR="00682547">
        <w:rPr>
          <w:rFonts w:ascii="ArialMT" w:hAnsi="ArialMT" w:cs="ArialMT"/>
        </w:rPr>
        <w:t>7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Between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885C27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r>
        <w:rPr>
          <w:rFonts w:ascii="ArialMT" w:hAnsi="ArialMT" w:cs="ArialMT"/>
        </w:rPr>
        <w:tab/>
      </w:r>
      <w:r w:rsidR="00885C27" w:rsidRPr="00682547">
        <w:rPr>
          <w:rFonts w:ascii="ArialMT" w:hAnsi="ArialMT" w:cs="ArialMT"/>
          <w:b/>
        </w:rPr>
        <w:t xml:space="preserve">Trustees of </w:t>
      </w:r>
      <w:r w:rsidR="00682547" w:rsidRPr="00682547">
        <w:rPr>
          <w:rFonts w:ascii="ArialMT" w:hAnsi="ArialMT" w:cs="ArialMT"/>
          <w:b/>
        </w:rPr>
        <w:t>John Garvey Pension Scheme</w:t>
      </w:r>
      <w:r w:rsidR="00885C27">
        <w:rPr>
          <w:rFonts w:ascii="ArialMT" w:hAnsi="ArialMT" w:cs="ArialMT"/>
        </w:rPr>
        <w:t xml:space="preserve"> of Daws House, 33-35 Daws House, Daws Lane, London, NW7 4SD</w:t>
      </w:r>
      <w:r w:rsidR="00682547">
        <w:rPr>
          <w:rFonts w:ascii="ArialMT" w:hAnsi="ArialMT" w:cs="ArialMT"/>
        </w:rPr>
        <w:t xml:space="preserve"> (</w:t>
      </w:r>
      <w:r>
        <w:rPr>
          <w:rFonts w:ascii="ArialMT" w:hAnsi="ArialMT" w:cs="ArialMT"/>
        </w:rPr>
        <w:t xml:space="preserve">the </w:t>
      </w:r>
      <w:r w:rsidR="00682547">
        <w:rPr>
          <w:rFonts w:ascii="ArialMT" w:hAnsi="ArialMT" w:cs="ArialMT"/>
        </w:rPr>
        <w:t>“</w:t>
      </w:r>
      <w:r w:rsidR="00885C27" w:rsidRPr="00885C27">
        <w:rPr>
          <w:rFonts w:ascii="ArialMT" w:hAnsi="ArialMT" w:cs="ArialMT"/>
          <w:b/>
        </w:rPr>
        <w:t>Investor</w:t>
      </w:r>
      <w:r>
        <w:rPr>
          <w:rFonts w:ascii="ArialMT" w:hAnsi="ArialMT" w:cs="ArialMT"/>
        </w:rPr>
        <w:t>”), and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333BA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(2) </w:t>
      </w:r>
      <w:r>
        <w:rPr>
          <w:rFonts w:ascii="ArialMT" w:hAnsi="ArialMT" w:cs="ArialMT"/>
        </w:rPr>
        <w:tab/>
      </w:r>
      <w:r w:rsidR="00682547" w:rsidRPr="00682547">
        <w:rPr>
          <w:rFonts w:ascii="ArialMT" w:hAnsi="ArialMT" w:cs="ArialMT"/>
          <w:b/>
        </w:rPr>
        <w:t>John Ronald Garvey</w:t>
      </w:r>
      <w:r w:rsidRPr="009333BA">
        <w:rPr>
          <w:rFonts w:ascii="ArialMT" w:hAnsi="ArialMT" w:cs="ArialMT"/>
        </w:rPr>
        <w:t xml:space="preserve"> </w:t>
      </w:r>
      <w:r w:rsidR="009333BA" w:rsidRPr="009333BA">
        <w:rPr>
          <w:rFonts w:ascii="ArialMT" w:hAnsi="ArialMT" w:cs="ArialMT"/>
        </w:rPr>
        <w:t xml:space="preserve">of </w:t>
      </w:r>
      <w:r w:rsidR="00682547">
        <w:rPr>
          <w:rFonts w:ascii="Arial" w:hAnsi="Arial" w:cs="Arial"/>
        </w:rPr>
        <w:t>Kingswood, Turncroft Hall, Darwen, Lancashire, BB3 3BT,</w:t>
      </w:r>
      <w:r w:rsidRPr="009333BA">
        <w:rPr>
          <w:rFonts w:ascii="ArialMT" w:hAnsi="ArialMT" w:cs="ArialMT"/>
        </w:rPr>
        <w:t xml:space="preserve"> the sole</w:t>
      </w:r>
      <w:r w:rsidR="009333BA" w:rsidRPr="009333BA">
        <w:rPr>
          <w:rFonts w:ascii="ArialMT" w:hAnsi="ArialMT" w:cs="ArialMT"/>
        </w:rPr>
        <w:t xml:space="preserve"> </w:t>
      </w:r>
      <w:r w:rsidRPr="009333BA">
        <w:rPr>
          <w:rFonts w:ascii="ArialMT" w:hAnsi="ArialMT" w:cs="ArialMT"/>
        </w:rPr>
        <w:t xml:space="preserve">director of </w:t>
      </w:r>
      <w:r w:rsidR="00682547">
        <w:rPr>
          <w:rFonts w:ascii="ArialMT" w:hAnsi="ArialMT" w:cs="ArialMT"/>
        </w:rPr>
        <w:t>Sapphire Financial Solutions</w:t>
      </w:r>
      <w:r w:rsidR="009333BA" w:rsidRPr="009333BA">
        <w:rPr>
          <w:rFonts w:ascii="ArialMT" w:hAnsi="ArialMT" w:cs="ArialMT"/>
        </w:rPr>
        <w:t xml:space="preserve"> </w:t>
      </w:r>
      <w:r w:rsidRPr="009333BA">
        <w:rPr>
          <w:rFonts w:ascii="ArialMT" w:hAnsi="ArialMT" w:cs="ArialMT"/>
        </w:rPr>
        <w:t>L</w:t>
      </w:r>
      <w:r w:rsidR="00682547">
        <w:rPr>
          <w:rFonts w:ascii="ArialMT" w:hAnsi="ArialMT" w:cs="ArialMT"/>
        </w:rPr>
        <w:t>t</w:t>
      </w:r>
      <w:r w:rsidRPr="009333BA">
        <w:rPr>
          <w:rFonts w:ascii="ArialMT" w:hAnsi="ArialMT" w:cs="ArialMT"/>
        </w:rPr>
        <w:t xml:space="preserve">d (the </w:t>
      </w:r>
      <w:r w:rsidR="00682547">
        <w:rPr>
          <w:rFonts w:ascii="ArialMT" w:hAnsi="ArialMT" w:cs="ArialMT"/>
        </w:rPr>
        <w:t>“</w:t>
      </w:r>
      <w:r w:rsidRPr="00682547">
        <w:rPr>
          <w:rFonts w:ascii="ArialMT" w:hAnsi="ArialMT" w:cs="ArialMT"/>
          <w:b/>
        </w:rPr>
        <w:t>Guarantor</w:t>
      </w:r>
      <w:r w:rsidRPr="009333BA">
        <w:rPr>
          <w:rFonts w:ascii="ArialMT" w:hAnsi="ArialMT" w:cs="ArialMT"/>
        </w:rPr>
        <w:t>”)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Recitals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682547" w:rsidP="00682547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r>
        <w:rPr>
          <w:rFonts w:ascii="ArialMT" w:hAnsi="ArialMT" w:cs="ArialMT"/>
        </w:rPr>
        <w:tab/>
        <w:t>John Garvey Pension Scheme (the “</w:t>
      </w:r>
      <w:r w:rsidR="00885C27" w:rsidRPr="00682547">
        <w:rPr>
          <w:rFonts w:ascii="ArialMT" w:hAnsi="ArialMT" w:cs="ArialMT"/>
          <w:b/>
        </w:rPr>
        <w:t>Scheme</w:t>
      </w:r>
      <w:r>
        <w:rPr>
          <w:rFonts w:ascii="ArialMT" w:hAnsi="ArialMT" w:cs="ArialMT"/>
        </w:rPr>
        <w:t>”)</w:t>
      </w:r>
      <w:r w:rsidR="00885C27">
        <w:rPr>
          <w:rFonts w:ascii="ArialMT" w:hAnsi="ArialMT" w:cs="ArialMT"/>
        </w:rPr>
        <w:t xml:space="preserve"> has agreed to purchase</w:t>
      </w:r>
      <w:r>
        <w:rPr>
          <w:rFonts w:ascii="ArialMT" w:hAnsi="ArialMT" w:cs="ArialMT"/>
        </w:rPr>
        <w:t xml:space="preserve"> a further tranche of</w:t>
      </w:r>
      <w:r w:rsidR="00885C27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20,000</w:t>
      </w:r>
      <w:r w:rsidR="00955834">
        <w:rPr>
          <w:rFonts w:ascii="ArialMT" w:hAnsi="ArialMT" w:cs="ArialMT"/>
        </w:rPr>
        <w:t xml:space="preserve"> cumulative redeemable</w:t>
      </w:r>
      <w:r>
        <w:rPr>
          <w:rFonts w:ascii="ArialMT" w:hAnsi="ArialMT" w:cs="ArialMT"/>
        </w:rPr>
        <w:t xml:space="preserve"> </w:t>
      </w:r>
      <w:r w:rsidR="00955834">
        <w:rPr>
          <w:rFonts w:ascii="ArialMT" w:hAnsi="ArialMT" w:cs="ArialMT"/>
        </w:rPr>
        <w:t xml:space="preserve">preference shares of £1.00 each in the capital of </w:t>
      </w:r>
      <w:r>
        <w:rPr>
          <w:rFonts w:ascii="ArialMT" w:hAnsi="ArialMT" w:cs="ArialMT"/>
        </w:rPr>
        <w:t xml:space="preserve">Sapphire Financial Solutions Limited </w:t>
      </w:r>
      <w:r w:rsidR="00955834">
        <w:rPr>
          <w:rFonts w:ascii="ArialMT" w:hAnsi="ArialMT" w:cs="ArialMT"/>
        </w:rPr>
        <w:t xml:space="preserve">(the </w:t>
      </w:r>
      <w:r>
        <w:rPr>
          <w:rFonts w:ascii="ArialMT" w:hAnsi="ArialMT" w:cs="ArialMT"/>
        </w:rPr>
        <w:t>“</w:t>
      </w:r>
      <w:r w:rsidR="00885C27" w:rsidRPr="00885C27">
        <w:rPr>
          <w:rFonts w:ascii="ArialMT" w:hAnsi="ArialMT" w:cs="ArialMT"/>
          <w:b/>
        </w:rPr>
        <w:t>Company</w:t>
      </w:r>
      <w:r w:rsidR="002502D7">
        <w:rPr>
          <w:rFonts w:ascii="ArialMT" w:hAnsi="ArialMT" w:cs="ArialMT"/>
        </w:rPr>
        <w:t xml:space="preserve">”) (the </w:t>
      </w:r>
      <w:r>
        <w:rPr>
          <w:rFonts w:ascii="ArialMT" w:hAnsi="ArialMT" w:cs="ArialMT"/>
        </w:rPr>
        <w:t>“</w:t>
      </w:r>
      <w:r w:rsidR="002502D7" w:rsidRPr="00682547">
        <w:rPr>
          <w:rFonts w:ascii="ArialMT" w:hAnsi="ArialMT" w:cs="ArialMT"/>
          <w:b/>
        </w:rPr>
        <w:t>Shares</w:t>
      </w:r>
      <w:r w:rsidR="002502D7">
        <w:rPr>
          <w:rFonts w:ascii="ArialMT" w:hAnsi="ArialMT" w:cs="ArialMT"/>
        </w:rPr>
        <w:t>”)</w:t>
      </w:r>
      <w:r>
        <w:rPr>
          <w:rFonts w:ascii="ArialMT" w:hAnsi="ArialMT" w:cs="ArialMT"/>
        </w:rPr>
        <w:t>, bringing the Scheme’s total shareholdings in the Company to 75,000 cumulative redeemable preference shares</w:t>
      </w:r>
      <w:r w:rsidR="002502D7">
        <w:rPr>
          <w:rFonts w:ascii="ArialMT" w:hAnsi="ArialMT" w:cs="ArialMT"/>
        </w:rPr>
        <w:t>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(2) </w:t>
      </w:r>
      <w:r>
        <w:rPr>
          <w:rFonts w:ascii="ArialMT" w:hAnsi="ArialMT" w:cs="ArialMT"/>
        </w:rPr>
        <w:tab/>
        <w:t>The Guarantor has agreed to guarantee to the Scheme in accordance with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72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the terms set out in this Deed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Agreed Terms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Pr="00955834" w:rsidRDefault="00955834" w:rsidP="009558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/>
        <w:jc w:val="left"/>
        <w:rPr>
          <w:rFonts w:ascii="ArialMT" w:hAnsi="ArialMT" w:cs="ArialMT"/>
        </w:rPr>
      </w:pPr>
      <w:r w:rsidRPr="00955834">
        <w:rPr>
          <w:rFonts w:ascii="ArialMT" w:hAnsi="ArialMT" w:cs="ArialMT"/>
        </w:rPr>
        <w:t xml:space="preserve"> It is agreed that a dividend shall be paid to the Scheme in relation to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36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Shares at a rate of </w:t>
      </w:r>
      <w:r w:rsidR="002502D7">
        <w:rPr>
          <w:rFonts w:ascii="ArialMT" w:hAnsi="ArialMT" w:cs="ArialMT"/>
        </w:rPr>
        <w:t>6</w:t>
      </w:r>
      <w:r w:rsidRPr="00292112">
        <w:rPr>
          <w:rFonts w:ascii="ArialMT" w:hAnsi="ArialMT" w:cs="ArialMT"/>
        </w:rPr>
        <w:t>%</w:t>
      </w:r>
      <w:r>
        <w:rPr>
          <w:rFonts w:ascii="ArialMT" w:hAnsi="ArialMT" w:cs="ArialMT"/>
        </w:rPr>
        <w:t xml:space="preserve"> per annum (“the Dividends”) and that the Shares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shall be redeemable by the Comp</w:t>
      </w:r>
      <w:r w:rsidR="009333BA">
        <w:rPr>
          <w:rFonts w:ascii="ArialMT" w:hAnsi="ArialMT" w:cs="ArialMT"/>
        </w:rPr>
        <w:t xml:space="preserve">any on or before the end of </w:t>
      </w:r>
      <w:r w:rsidR="00682547">
        <w:rPr>
          <w:rFonts w:ascii="ArialMT" w:hAnsi="ArialMT" w:cs="ArialMT"/>
        </w:rPr>
        <w:t>2019, with respect to the initial tranche of 55,000 preference shares, and on or before the end</w:t>
      </w:r>
      <w:r w:rsidR="009A2936">
        <w:rPr>
          <w:rFonts w:ascii="ArialMT" w:hAnsi="ArialMT" w:cs="ArialMT"/>
        </w:rPr>
        <w:t xml:space="preserve"> </w:t>
      </w:r>
      <w:r w:rsidR="00682547">
        <w:rPr>
          <w:rFonts w:ascii="ArialMT" w:hAnsi="ArialMT" w:cs="ArialMT"/>
        </w:rPr>
        <w:t xml:space="preserve">of </w:t>
      </w:r>
      <w:r w:rsidR="009333BA" w:rsidRPr="00292112">
        <w:rPr>
          <w:rFonts w:ascii="ArialMT" w:hAnsi="ArialMT" w:cs="ArialMT"/>
        </w:rPr>
        <w:t>202</w:t>
      </w:r>
      <w:r w:rsidR="00682547">
        <w:rPr>
          <w:rFonts w:ascii="ArialMT" w:hAnsi="ArialMT" w:cs="ArialMT"/>
        </w:rPr>
        <w:t>2</w:t>
      </w:r>
      <w:r>
        <w:rPr>
          <w:rFonts w:ascii="ArialMT" w:hAnsi="ArialMT" w:cs="ArialMT"/>
        </w:rPr>
        <w:t xml:space="preserve"> </w:t>
      </w:r>
      <w:r w:rsidR="00682547">
        <w:rPr>
          <w:rFonts w:ascii="ArialMT" w:hAnsi="ArialMT" w:cs="ArialMT"/>
        </w:rPr>
        <w:t xml:space="preserve">with respect to the further tranche of 20,000 preference shares </w:t>
      </w:r>
      <w:r>
        <w:rPr>
          <w:rFonts w:ascii="ArialMT" w:hAnsi="ArialMT" w:cs="ArialMT"/>
        </w:rPr>
        <w:t>(the</w:t>
      </w:r>
    </w:p>
    <w:p w:rsidR="00955834" w:rsidRDefault="00682547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“</w:t>
      </w:r>
      <w:r w:rsidR="00955834" w:rsidRPr="00682547">
        <w:rPr>
          <w:rFonts w:ascii="ArialMT" w:hAnsi="ArialMT" w:cs="ArialMT"/>
          <w:b/>
        </w:rPr>
        <w:t>Redemption Date</w:t>
      </w:r>
      <w:r w:rsidR="00955834">
        <w:rPr>
          <w:rFonts w:ascii="ArialMT" w:hAnsi="ArialMT" w:cs="ArialMT"/>
        </w:rPr>
        <w:t>”) unless otherwise agreed between the Company and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the Scheme. In the event that the Company does not pay such Dividends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to the Scheme on any due date or dates and/or fails to redeem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Shares by the Redemption Date the Guarantor shall within seven days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service of a notice of demand upon him pay to the Scheme all sums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demanded by the Scheme.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2.  In the event that the Company defaults in paying any of the Dividends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and/or redeeming the Shares then all Dividends up to the Redemption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Date and all redemption monies due on the Shares shall become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immediately due and payable.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3. On any demand by the Scheme the Company and/or the Guarantor jointly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 severally shall be liable for the costs and expenses of the Scheme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 the Guarantor further agrees to indemnify the Scheme against any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loss it may incur in connection with the Dividends and/or redemption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Shares.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72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4. This deed shall continue in full force and effect notwithstanding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receivership administration or liquidation of the Company or the entering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into an arrangement with its creditors.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72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5. Service of a notice of demand by the Scheme or it’s agent on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Guarantor shall be effected by either: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</w:p>
    <w:p w:rsidR="00955834" w:rsidRPr="00AD01A6" w:rsidRDefault="00955834" w:rsidP="00AD01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/>
        <w:jc w:val="left"/>
        <w:rPr>
          <w:rFonts w:ascii="ArialMT" w:hAnsi="ArialMT" w:cs="ArialMT"/>
        </w:rPr>
      </w:pPr>
      <w:r w:rsidRPr="00AD01A6">
        <w:rPr>
          <w:rFonts w:ascii="ArialMT" w:hAnsi="ArialMT" w:cs="ArialMT"/>
        </w:rPr>
        <w:t>sending the notice by first class ordinary post or</w:t>
      </w:r>
      <w:r w:rsidR="00AD01A6" w:rsidRPr="00AD01A6">
        <w:rPr>
          <w:rFonts w:ascii="ArialMT" w:hAnsi="ArialMT" w:cs="ArialMT"/>
        </w:rPr>
        <w:t xml:space="preserve"> </w:t>
      </w:r>
      <w:r w:rsidRPr="00AD01A6">
        <w:rPr>
          <w:rFonts w:ascii="ArialMT" w:hAnsi="ArialMT" w:cs="ArialMT"/>
        </w:rPr>
        <w:t>by recorded delivery letter to the Guarantor’s last known address</w:t>
      </w:r>
      <w:r w:rsidR="00AD01A6" w:rsidRPr="00AD01A6">
        <w:rPr>
          <w:rFonts w:ascii="ArialMT" w:hAnsi="ArialMT" w:cs="ArialMT"/>
        </w:rPr>
        <w:t>; or</w:t>
      </w:r>
    </w:p>
    <w:p w:rsidR="00AD01A6" w:rsidRPr="00AD01A6" w:rsidRDefault="00AD01A6" w:rsidP="00AD01A6">
      <w:pPr>
        <w:pStyle w:val="ListParagraph"/>
        <w:autoSpaceDE w:val="0"/>
        <w:autoSpaceDN w:val="0"/>
        <w:adjustRightInd w:val="0"/>
        <w:spacing w:before="0"/>
        <w:ind w:left="1353" w:firstLine="0"/>
        <w:jc w:val="left"/>
        <w:rPr>
          <w:rFonts w:ascii="ArialMT" w:hAnsi="ArialMT" w:cs="ArialMT"/>
        </w:rPr>
      </w:pPr>
    </w:p>
    <w:p w:rsidR="00955834" w:rsidRDefault="00955834" w:rsidP="00885C27">
      <w:pPr>
        <w:autoSpaceDE w:val="0"/>
        <w:autoSpaceDN w:val="0"/>
        <w:adjustRightInd w:val="0"/>
        <w:spacing w:before="0"/>
        <w:ind w:left="624" w:firstLine="369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(b) by delivering the notice personally to the Guarantor or to his last</w:t>
      </w:r>
    </w:p>
    <w:p w:rsidR="00955834" w:rsidRDefault="00955834" w:rsidP="00885C27">
      <w:pPr>
        <w:autoSpaceDE w:val="0"/>
        <w:autoSpaceDN w:val="0"/>
        <w:adjustRightInd w:val="0"/>
        <w:spacing w:before="0"/>
        <w:ind w:left="567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known address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AD01A6">
      <w:pPr>
        <w:autoSpaceDE w:val="0"/>
        <w:autoSpaceDN w:val="0"/>
        <w:adjustRightInd w:val="0"/>
        <w:spacing w:before="0"/>
        <w:ind w:left="709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6. A Guarantor shall not be discharged by time or any other concessions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given to the Company or any third party by the Scheme or by anything the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Scheme may do or omit to or by any other dealing or thing which, but for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this provision, would or might discharge a Guarantor.</w:t>
      </w:r>
    </w:p>
    <w:p w:rsidR="00682547" w:rsidRDefault="00682547" w:rsidP="00682547">
      <w:pPr>
        <w:autoSpaceDE w:val="0"/>
        <w:autoSpaceDN w:val="0"/>
        <w:adjustRightInd w:val="0"/>
        <w:spacing w:before="0"/>
        <w:ind w:left="0" w:firstLine="0"/>
        <w:rPr>
          <w:rFonts w:ascii="ArialMT" w:hAnsi="ArialMT" w:cs="ArialMT"/>
        </w:rPr>
      </w:pPr>
    </w:p>
    <w:p w:rsidR="00955834" w:rsidRDefault="00955834" w:rsidP="00AD01A6">
      <w:pPr>
        <w:autoSpaceDE w:val="0"/>
        <w:autoSpaceDN w:val="0"/>
        <w:adjustRightInd w:val="0"/>
        <w:spacing w:before="0"/>
        <w:ind w:left="284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7. For the avoidance of doubt it is agreed and declared that the Scheme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may serve a separate notice of demand on each occasion and without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limitation as to time that the Scheme does not receive the Dividends or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any redemption monies due on the Shares under this agreement and on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each occasion the Guarantor is required to pay the sums due under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clause 1.</w:t>
      </w:r>
    </w:p>
    <w:p w:rsidR="00682547" w:rsidRDefault="00682547" w:rsidP="00682547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682547" w:rsidRDefault="00682547" w:rsidP="009A2936">
      <w:pPr>
        <w:autoSpaceDE w:val="0"/>
        <w:autoSpaceDN w:val="0"/>
        <w:adjustRightInd w:val="0"/>
        <w:spacing w:before="0"/>
        <w:ind w:left="993" w:hanging="284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8. The terms of this deed </w:t>
      </w:r>
      <w:r w:rsidR="009A2936">
        <w:rPr>
          <w:rFonts w:ascii="ArialMT" w:hAnsi="ArialMT" w:cs="ArialMT"/>
        </w:rPr>
        <w:t>replace</w:t>
      </w:r>
      <w:r>
        <w:rPr>
          <w:rFonts w:ascii="ArialMT" w:hAnsi="ArialMT" w:cs="ArialMT"/>
        </w:rPr>
        <w:t xml:space="preserve"> </w:t>
      </w:r>
      <w:r w:rsidR="00054A01">
        <w:rPr>
          <w:rFonts w:ascii="ArialMT" w:hAnsi="ArialMT" w:cs="ArialMT"/>
        </w:rPr>
        <w:t xml:space="preserve">the terms of any and </w:t>
      </w:r>
      <w:bookmarkStart w:id="0" w:name="_GoBack"/>
      <w:bookmarkEnd w:id="0"/>
      <w:r>
        <w:rPr>
          <w:rFonts w:ascii="ArialMT" w:hAnsi="ArialMT" w:cs="ArialMT"/>
        </w:rPr>
        <w:t xml:space="preserve">all previous </w:t>
      </w:r>
      <w:r w:rsidR="009A2936">
        <w:rPr>
          <w:rFonts w:ascii="ArialMT" w:hAnsi="ArialMT" w:cs="ArialMT"/>
        </w:rPr>
        <w:t xml:space="preserve">Personal Guarantees signed by the Guarantor in favour of the Investor with respect to the Investor’s cumulative redeemable preference shareholdings in the Company. 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WITNESS WHEREOF the parties have put their hands as a deed the date first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above written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Signed as a deed by the said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A2936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JOHN RONALD GARVEY</w:t>
      </w:r>
      <w:r w:rsidR="00955834">
        <w:rPr>
          <w:rFonts w:ascii="ArialMT" w:hAnsi="ArialMT" w:cs="ArialMT"/>
        </w:rPr>
        <w:t xml:space="preserve"> ……………………………..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Signed as a deed by the Trustees of the </w:t>
      </w:r>
      <w:r w:rsidR="009A2936">
        <w:rPr>
          <w:rFonts w:ascii="ArialMT" w:hAnsi="ArialMT" w:cs="ArialMT"/>
        </w:rPr>
        <w:t>John Garvey Pension Scheme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……………………………..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Address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333BA" w:rsidP="009333B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sectPr w:rsidR="009333BA" w:rsidSect="00962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B2903"/>
    <w:multiLevelType w:val="hybridMultilevel"/>
    <w:tmpl w:val="36EECA5A"/>
    <w:lvl w:ilvl="0" w:tplc="A0A0B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D95D63"/>
    <w:multiLevelType w:val="hybridMultilevel"/>
    <w:tmpl w:val="4D08B46C"/>
    <w:lvl w:ilvl="0" w:tplc="9AEE2CB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55834"/>
    <w:rsid w:val="00054A01"/>
    <w:rsid w:val="002502D7"/>
    <w:rsid w:val="00292112"/>
    <w:rsid w:val="00682547"/>
    <w:rsid w:val="007A5E55"/>
    <w:rsid w:val="00885C27"/>
    <w:rsid w:val="009333BA"/>
    <w:rsid w:val="00955834"/>
    <w:rsid w:val="009623FB"/>
    <w:rsid w:val="009A2936"/>
    <w:rsid w:val="00AD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64A3E"/>
  <w15:docId w15:val="{8835B1B3-D222-4EEA-94CB-F57119CD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20"/>
        <w:ind w:left="1434" w:hanging="35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623F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McCartney</dc:creator>
  <cp:lastModifiedBy>Tony McCartney</cp:lastModifiedBy>
  <cp:revision>6</cp:revision>
  <dcterms:created xsi:type="dcterms:W3CDTF">2016-04-19T19:33:00Z</dcterms:created>
  <dcterms:modified xsi:type="dcterms:W3CDTF">2017-06-15T13:06:00Z</dcterms:modified>
</cp:coreProperties>
</file>