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JH&amp;H Pension Trust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LMJ Accountants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09205656 and whose registered office is situated at Basepoint Business Centre 110 Butterfield, Great Marlings, Luton, England, LU2 8DL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Javaria Sarmad</w:t>
      </w:r>
      <w:r w:rsidDel="00000000" w:rsidR="00000000" w:rsidRPr="00000000">
        <w:rPr>
          <w:rFonts w:ascii="Arial" w:cs="Arial" w:eastAsia="Arial" w:hAnsi="Arial"/>
          <w:rtl w:val="0"/>
        </w:rPr>
        <w:t xml:space="preserve"> of 5 Stratford Drive, Wootton, Northampton, NN4 6JT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JH&amp;H Pension Trust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LMJ Accountants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Javaria Sarmad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Javaria Sarmad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0FE8J6bl0fiUE/PaeEO1FcZpeg==">AMUW2mXLtBeZBTaNpFM7PioE5BH+ReMjSxf+HQxlfLLZW+a79FPXf0lJFHuuYDuwpLUEBPWN6XocJSuAz6gJ8oOY125RuLUQc0zKjsYTzvJgCKbxHY9EdE8Upi39D4rJwMaZP1TZMjmX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