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JH&amp;H Pension Trust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Javaria Sarmad</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5">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ZADAdzX9a8XyuNLN85CrPIrONQ==">AMUW2mVqWQok8v3YBpGms4hMXZBmrTHY+nu2FvdhUvwJYvVm5ZNFSNG0H3EMJUr6OahPO5KZfWP5ULti9G7IvCfYO9RuQAwSDHKmAcF88FAjzr2ehoWPG0FsNN9DXKADY1j1uc7BHL6PUzlM9yI9wOhJ3UxGbLSzKQ==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