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Trustees Resolution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Paul Hague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Sarah Hague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(Trustees)</w:t>
        <w:br w:type="textWrapping"/>
      </w:r>
      <w:r w:rsidDel="00000000" w:rsidR="00000000" w:rsidRPr="00000000">
        <w:rPr>
          <w:rtl w:val="0"/>
        </w:rPr>
        <w:br w:type="textWrapping"/>
        <w:t xml:space="preserve">The Trustee of the Scheme wishes to invest into and hold crypto currencies as part of his scheme investment holdings. </w:t>
        <w:br w:type="textWrapping"/>
        <w:br w:type="textWrapping"/>
        <w:t xml:space="preserve">The Trustee understands and accepts the risks associated with this investment class, including the potential for total loss of the initial capital invested and the potential lack of liquidity.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Trustee Resolves that: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account will be operated solely as an asset of the scheme.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Scheme Administrator and Practitioner is waived of their obligations for provision of statutory duty of care in respect of this transaction.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Managing Trustee requires the remittance of funds for the investment to the account name: Paul Hague  -  Reference Istraat Limited Pension Scheme</w:t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  <w:t xml:space="preserve">Account Sort Code: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 558156</w:t>
        <w:br w:type="textWrapping"/>
        <w:t xml:space="preserve">Account Number: 11611677 </w:t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Signed: 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561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Ej/44Wq0cyze3qHO1OPZCbbRA==">CgMxLjAyCGguZ2pkZ3hzOAByITFhTlZvSEJiUWJ3a1NhQzk4ZFJGMTlHNE9UOWs4TTdBQg==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2017-12-13T10:16:00Z</dcterms:created>
  <dc:creator>Gavin Mccloskey</dc:creator>
</cp:coreProperties>
</file>