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Pr="00E1136E" w:rsidRDefault="00773D22" w:rsidP="007F23D0">
      <w:pPr>
        <w:pStyle w:val="Heading1"/>
        <w:spacing w:before="1"/>
        <w:ind w:left="0" w:right="40" w:firstLine="0"/>
      </w:pPr>
      <w:r>
        <w:t>Hoban Family Investment Pension Fund</w:t>
      </w: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8"/>
        </w:rPr>
      </w:pP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 xml:space="preserve">Scheme Review </w:t>
      </w:r>
    </w:p>
    <w:p w:rsidR="00E1136E" w:rsidRPr="00E1136E" w:rsidRDefault="00E1136E" w:rsidP="007F23D0">
      <w:pPr>
        <w:pStyle w:val="Heading1"/>
        <w:spacing w:before="85"/>
        <w:ind w:left="0" w:right="40" w:firstLine="0"/>
        <w:rPr>
          <w:color w:val="92CDDC" w:themeColor="accent5" w:themeTint="99"/>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3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Pr="00E1136E" w:rsidRDefault="00986DAD" w:rsidP="007F23D0">
      <w:pPr>
        <w:pStyle w:val="BodyText"/>
        <w:spacing w:before="317"/>
        <w:ind w:right="40"/>
        <w:jc w:val="right"/>
        <w:rPr>
          <w:b/>
          <w:color w:val="92CDDC" w:themeColor="accent5" w:themeTint="99"/>
        </w:rPr>
      </w:pPr>
      <w:r w:rsidRPr="00E1136E">
        <w:rPr>
          <w:b/>
          <w:color w:val="92CDDC" w:themeColor="accent5" w:themeTint="99"/>
        </w:rPr>
        <w:t>Prepared by</w:t>
      </w:r>
    </w:p>
    <w:p w:rsidR="00E1136E" w:rsidRPr="00E1136E" w:rsidRDefault="00E1136E" w:rsidP="007F23D0">
      <w:pPr>
        <w:pStyle w:val="BodyText"/>
        <w:spacing w:before="317"/>
        <w:ind w:right="40"/>
        <w:jc w:val="right"/>
        <w:rPr>
          <w:b/>
          <w:color w:val="92CDDC" w:themeColor="accent5" w:themeTint="99"/>
        </w:rPr>
      </w:pPr>
      <w:r w:rsidRPr="00E1136E">
        <w:rPr>
          <w:b/>
          <w:color w:val="92CDDC" w:themeColor="accent5" w:themeTint="99"/>
        </w:rPr>
        <w:t>Gavin A. McCloskey</w:t>
      </w:r>
      <w:r w:rsidRPr="00E1136E">
        <w:rPr>
          <w:b/>
          <w:color w:val="92CDDC" w:themeColor="accent5" w:themeTint="99"/>
        </w:rPr>
        <w:br/>
        <w:t>Scheme Consultant</w:t>
      </w:r>
    </w:p>
    <w:p w:rsidR="00E045C6" w:rsidRPr="00E1136E" w:rsidRDefault="00E045C6" w:rsidP="007F23D0">
      <w:pPr>
        <w:pStyle w:val="BodyText"/>
        <w:spacing w:before="8"/>
        <w:ind w:right="40"/>
        <w:rPr>
          <w:b/>
          <w:color w:val="92CDDC" w:themeColor="accent5" w:themeTint="99"/>
          <w:sz w:val="19"/>
        </w:rPr>
      </w:pPr>
    </w:p>
    <w:p w:rsidR="00E045C6" w:rsidRDefault="00E045C6" w:rsidP="007F23D0">
      <w:pPr>
        <w:pStyle w:val="BodyText"/>
        <w:spacing w:before="9"/>
        <w:ind w:right="40"/>
        <w:rPr>
          <w:sz w:val="20"/>
        </w:rPr>
      </w:pPr>
    </w:p>
    <w:p w:rsidR="00AC3193" w:rsidRDefault="00AC3193" w:rsidP="007F23D0">
      <w:pPr>
        <w:pStyle w:val="BodyText"/>
        <w:spacing w:before="9"/>
        <w:ind w:right="40"/>
        <w:rPr>
          <w:sz w:val="20"/>
        </w:rPr>
      </w:pPr>
    </w:p>
    <w:p w:rsidR="00AC3193" w:rsidRDefault="00AC3193" w:rsidP="007F23D0">
      <w:pPr>
        <w:pStyle w:val="BodyText"/>
        <w:spacing w:before="9"/>
        <w:ind w:right="40"/>
        <w:rPr>
          <w:sz w:val="20"/>
        </w:rPr>
      </w:pPr>
    </w:p>
    <w:p w:rsidR="00AC3193" w:rsidRDefault="00AC3193" w:rsidP="007F23D0">
      <w:pPr>
        <w:pStyle w:val="BodyText"/>
        <w:spacing w:before="9"/>
        <w:ind w:right="40"/>
        <w:rPr>
          <w:sz w:val="20"/>
        </w:rPr>
      </w:pPr>
    </w:p>
    <w:p w:rsidR="00E045C6" w:rsidRDefault="00986DAD" w:rsidP="007F23D0">
      <w:pPr>
        <w:pStyle w:val="Heading1"/>
        <w:ind w:left="1134" w:right="40" w:hanging="567"/>
      </w:pPr>
      <w:r>
        <w:rPr>
          <w:color w:val="1FAED5"/>
        </w:rPr>
        <w:t>Index</w:t>
      </w:r>
    </w:p>
    <w:p w:rsidR="00E045C6" w:rsidRDefault="00E045C6" w:rsidP="007F23D0">
      <w:pPr>
        <w:pStyle w:val="BodyText"/>
        <w:ind w:right="40"/>
        <w:rPr>
          <w:b/>
          <w:sz w:val="54"/>
        </w:rPr>
      </w:pPr>
    </w:p>
    <w:p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rsidR="00E045C6" w:rsidRPr="00AC3193" w:rsidRDefault="00E045C6" w:rsidP="007F23D0">
      <w:pPr>
        <w:pStyle w:val="BodyText"/>
        <w:tabs>
          <w:tab w:val="left" w:pos="1134"/>
        </w:tabs>
        <w:spacing w:before="6"/>
        <w:ind w:left="1134" w:right="40" w:hanging="567"/>
        <w:rPr>
          <w:sz w:val="28"/>
          <w:szCs w:val="28"/>
        </w:rPr>
      </w:pPr>
    </w:p>
    <w:p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rsidR="00F74D38" w:rsidRPr="00AC3193" w:rsidRDefault="00F74D38" w:rsidP="007F23D0">
      <w:pPr>
        <w:pStyle w:val="ListParagraph"/>
        <w:tabs>
          <w:tab w:val="left" w:pos="1134"/>
        </w:tabs>
        <w:ind w:left="1134" w:right="40" w:hanging="567"/>
        <w:rPr>
          <w:sz w:val="28"/>
          <w:szCs w:val="28"/>
        </w:rPr>
      </w:pPr>
    </w:p>
    <w:p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Scheme Tax Return</w:t>
      </w:r>
    </w:p>
    <w:p w:rsidR="00E1136E" w:rsidRPr="00AC3193" w:rsidRDefault="00E1136E" w:rsidP="007F23D0">
      <w:pPr>
        <w:pStyle w:val="ListParagraph"/>
        <w:tabs>
          <w:tab w:val="left" w:pos="1134"/>
        </w:tabs>
        <w:ind w:left="1134" w:right="40" w:hanging="567"/>
        <w:rPr>
          <w:sz w:val="28"/>
          <w:szCs w:val="28"/>
        </w:rPr>
      </w:pPr>
    </w:p>
    <w:p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rsidR="000A72D5" w:rsidRPr="00AC3193" w:rsidRDefault="000A72D5" w:rsidP="007F23D0">
      <w:pPr>
        <w:pStyle w:val="ListParagraph"/>
        <w:tabs>
          <w:tab w:val="left" w:pos="1134"/>
        </w:tabs>
        <w:ind w:left="1134" w:right="40" w:hanging="567"/>
        <w:rPr>
          <w:sz w:val="28"/>
          <w:szCs w:val="28"/>
        </w:rPr>
      </w:pPr>
    </w:p>
    <w:p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rsidR="00E1136E" w:rsidRPr="00AC3193" w:rsidRDefault="00E1136E" w:rsidP="007F23D0">
      <w:pPr>
        <w:pStyle w:val="ListParagraph"/>
        <w:tabs>
          <w:tab w:val="left" w:pos="1134"/>
        </w:tabs>
        <w:ind w:left="1134" w:right="40" w:hanging="567"/>
        <w:rPr>
          <w:sz w:val="28"/>
          <w:szCs w:val="28"/>
        </w:rPr>
      </w:pPr>
    </w:p>
    <w:p w:rsidR="006D748E" w:rsidRDefault="006D748E" w:rsidP="007F23D0">
      <w:pPr>
        <w:pStyle w:val="ListParagraph"/>
        <w:numPr>
          <w:ilvl w:val="0"/>
          <w:numId w:val="2"/>
        </w:numPr>
        <w:tabs>
          <w:tab w:val="left" w:pos="1134"/>
        </w:tabs>
        <w:ind w:left="1134" w:right="40" w:hanging="567"/>
        <w:rPr>
          <w:sz w:val="28"/>
          <w:szCs w:val="28"/>
        </w:rPr>
      </w:pPr>
      <w:r>
        <w:rPr>
          <w:sz w:val="28"/>
          <w:szCs w:val="28"/>
        </w:rPr>
        <w:t>New</w:t>
      </w:r>
      <w:r w:rsidR="001F4E4A">
        <w:rPr>
          <w:sz w:val="28"/>
          <w:szCs w:val="28"/>
        </w:rPr>
        <w:t xml:space="preserve"> Independent</w:t>
      </w:r>
      <w:r>
        <w:rPr>
          <w:sz w:val="28"/>
          <w:szCs w:val="28"/>
        </w:rPr>
        <w:t xml:space="preserve"> </w:t>
      </w:r>
      <w:r w:rsidR="00AD38C1">
        <w:rPr>
          <w:sz w:val="28"/>
          <w:szCs w:val="28"/>
        </w:rPr>
        <w:t xml:space="preserve">Trustee </w:t>
      </w:r>
      <w:r>
        <w:rPr>
          <w:sz w:val="28"/>
          <w:szCs w:val="28"/>
        </w:rPr>
        <w:t>Service</w:t>
      </w:r>
    </w:p>
    <w:p w:rsidR="006D748E" w:rsidRPr="006D748E" w:rsidRDefault="006D748E" w:rsidP="006D748E">
      <w:pPr>
        <w:pStyle w:val="ListParagraph"/>
        <w:rPr>
          <w:sz w:val="28"/>
          <w:szCs w:val="28"/>
        </w:rPr>
      </w:pPr>
    </w:p>
    <w:p w:rsidR="00E045C6" w:rsidRPr="00AC3193" w:rsidRDefault="006D748E" w:rsidP="007F23D0">
      <w:pPr>
        <w:pStyle w:val="ListParagraph"/>
        <w:numPr>
          <w:ilvl w:val="0"/>
          <w:numId w:val="2"/>
        </w:numPr>
        <w:tabs>
          <w:tab w:val="left" w:pos="1134"/>
        </w:tabs>
        <w:ind w:left="1134" w:right="40" w:hanging="567"/>
        <w:rPr>
          <w:sz w:val="28"/>
          <w:szCs w:val="28"/>
        </w:rPr>
      </w:pPr>
      <w:r>
        <w:rPr>
          <w:sz w:val="28"/>
          <w:szCs w:val="28"/>
        </w:rPr>
        <w:t xml:space="preserve">Proposed </w:t>
      </w:r>
      <w:r w:rsidR="00E1136E" w:rsidRPr="00AC3193">
        <w:rPr>
          <w:sz w:val="28"/>
          <w:szCs w:val="28"/>
        </w:rPr>
        <w:t>Action Plan for 2018</w:t>
      </w:r>
    </w:p>
    <w:p w:rsidR="00DF1CFF" w:rsidRPr="00AC3193" w:rsidRDefault="00DF1CFF" w:rsidP="007F23D0">
      <w:pPr>
        <w:pStyle w:val="ListParagraph"/>
        <w:tabs>
          <w:tab w:val="left" w:pos="1134"/>
        </w:tabs>
        <w:ind w:left="1134" w:right="40" w:hanging="567"/>
        <w:rPr>
          <w:sz w:val="28"/>
          <w:szCs w:val="28"/>
        </w:rPr>
      </w:pPr>
    </w:p>
    <w:p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Newsletter</w:t>
      </w:r>
    </w:p>
    <w:p w:rsidR="00E045C6" w:rsidRDefault="00E045C6" w:rsidP="007F23D0">
      <w:pPr>
        <w:pStyle w:val="BodyText"/>
        <w:ind w:right="40"/>
      </w:pPr>
    </w:p>
    <w:p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Default="00986DAD" w:rsidP="007F23D0">
      <w:pPr>
        <w:pStyle w:val="Heading1"/>
        <w:numPr>
          <w:ilvl w:val="1"/>
          <w:numId w:val="2"/>
        </w:numPr>
        <w:tabs>
          <w:tab w:val="left" w:pos="1134"/>
        </w:tabs>
        <w:ind w:left="1134" w:right="40" w:hanging="567"/>
        <w:jc w:val="left"/>
      </w:pPr>
      <w:r>
        <w:rPr>
          <w:color w:val="1FAED5"/>
        </w:rPr>
        <w:t>Introduction</w:t>
      </w:r>
    </w:p>
    <w:p w:rsidR="00E045C6" w:rsidRDefault="00E045C6" w:rsidP="007F23D0">
      <w:pPr>
        <w:pStyle w:val="BodyText"/>
        <w:spacing w:before="10"/>
        <w:ind w:right="40"/>
        <w:rPr>
          <w:b/>
          <w:sz w:val="59"/>
        </w:rPr>
      </w:pPr>
    </w:p>
    <w:p w:rsidR="00E045C6" w:rsidRPr="001F4E4A" w:rsidRDefault="00E1136E" w:rsidP="007F23D0">
      <w:pPr>
        <w:pStyle w:val="BodyText"/>
        <w:spacing w:line="276" w:lineRule="auto"/>
        <w:ind w:left="567" w:right="40"/>
        <w:jc w:val="both"/>
        <w:rPr>
          <w:sz w:val="24"/>
          <w:szCs w:val="24"/>
        </w:rPr>
      </w:pPr>
      <w:r w:rsidRPr="001F4E4A">
        <w:rPr>
          <w:sz w:val="24"/>
          <w:szCs w:val="24"/>
        </w:rPr>
        <w:t xml:space="preserve">I am pleased to enclose our </w:t>
      </w:r>
      <w:proofErr w:type="gramStart"/>
      <w:r w:rsidRPr="001F4E4A">
        <w:rPr>
          <w:sz w:val="24"/>
          <w:szCs w:val="24"/>
        </w:rPr>
        <w:t xml:space="preserve">new </w:t>
      </w:r>
      <w:r w:rsidR="00F34D50" w:rsidRPr="001F4E4A">
        <w:rPr>
          <w:sz w:val="24"/>
          <w:szCs w:val="24"/>
        </w:rPr>
        <w:t>look</w:t>
      </w:r>
      <w:proofErr w:type="gramEnd"/>
      <w:r w:rsidR="00F34D50" w:rsidRPr="001F4E4A">
        <w:rPr>
          <w:sz w:val="24"/>
          <w:szCs w:val="24"/>
        </w:rPr>
        <w:t xml:space="preserve"> </w:t>
      </w:r>
      <w:r w:rsidRPr="001F4E4A">
        <w:rPr>
          <w:sz w:val="24"/>
          <w:szCs w:val="24"/>
        </w:rPr>
        <w:t>annual trustees report for your scheme.</w:t>
      </w:r>
    </w:p>
    <w:p w:rsidR="00E1136E" w:rsidRPr="001F4E4A" w:rsidRDefault="00E1136E" w:rsidP="007F23D0">
      <w:pPr>
        <w:pStyle w:val="BodyText"/>
        <w:spacing w:line="276" w:lineRule="auto"/>
        <w:ind w:left="567" w:right="40"/>
        <w:jc w:val="both"/>
        <w:rPr>
          <w:sz w:val="24"/>
          <w:szCs w:val="24"/>
        </w:rPr>
      </w:pPr>
    </w:p>
    <w:p w:rsidR="00E1136E" w:rsidRPr="001F4E4A" w:rsidRDefault="00E1136E" w:rsidP="007F23D0">
      <w:pPr>
        <w:pStyle w:val="BodyText"/>
        <w:spacing w:line="276" w:lineRule="auto"/>
        <w:ind w:left="567" w:right="40"/>
        <w:jc w:val="both"/>
        <w:rPr>
          <w:sz w:val="24"/>
          <w:szCs w:val="24"/>
        </w:rPr>
      </w:pPr>
      <w:r w:rsidRPr="001F4E4A">
        <w:rPr>
          <w:sz w:val="24"/>
          <w:szCs w:val="24"/>
        </w:rPr>
        <w:t xml:space="preserve">This report has changed </w:t>
      </w:r>
      <w:proofErr w:type="spellStart"/>
      <w:r w:rsidRPr="001F4E4A">
        <w:rPr>
          <w:sz w:val="24"/>
          <w:szCs w:val="24"/>
        </w:rPr>
        <w:t>it’s</w:t>
      </w:r>
      <w:proofErr w:type="spellEnd"/>
      <w:r w:rsidRPr="001F4E4A">
        <w:rPr>
          <w:sz w:val="24"/>
          <w:szCs w:val="24"/>
        </w:rPr>
        <w:t xml:space="preserve"> focus </w:t>
      </w:r>
      <w:r w:rsidR="00F34D50" w:rsidRPr="001F4E4A">
        <w:rPr>
          <w:sz w:val="24"/>
          <w:szCs w:val="24"/>
        </w:rPr>
        <w:t>from</w:t>
      </w:r>
      <w:r w:rsidRPr="001F4E4A">
        <w:rPr>
          <w:sz w:val="24"/>
          <w:szCs w:val="24"/>
        </w:rPr>
        <w:t xml:space="preserve"> previous years by being more </w:t>
      </w:r>
      <w:r w:rsidR="00F34D50" w:rsidRPr="001F4E4A">
        <w:rPr>
          <w:sz w:val="24"/>
          <w:szCs w:val="24"/>
        </w:rPr>
        <w:t>specific to the day to day requirements of the scheme and we have cut the content of investment and inflation outlook data.</w:t>
      </w:r>
    </w:p>
    <w:p w:rsidR="00F34D50" w:rsidRPr="001F4E4A" w:rsidRDefault="00F34D50" w:rsidP="007F23D0">
      <w:pPr>
        <w:pStyle w:val="BodyText"/>
        <w:spacing w:line="276" w:lineRule="auto"/>
        <w:ind w:left="567" w:right="40"/>
        <w:jc w:val="both"/>
        <w:rPr>
          <w:sz w:val="24"/>
          <w:szCs w:val="24"/>
        </w:rPr>
      </w:pPr>
    </w:p>
    <w:p w:rsidR="00F34D50" w:rsidRPr="001F4E4A" w:rsidRDefault="001F4E4A" w:rsidP="007F23D0">
      <w:pPr>
        <w:pStyle w:val="BodyText"/>
        <w:spacing w:line="276" w:lineRule="auto"/>
        <w:ind w:left="567" w:right="40"/>
        <w:jc w:val="both"/>
        <w:rPr>
          <w:sz w:val="24"/>
          <w:szCs w:val="24"/>
        </w:rPr>
      </w:pPr>
      <w:r w:rsidRPr="001F4E4A">
        <w:rPr>
          <w:sz w:val="24"/>
          <w:szCs w:val="24"/>
        </w:rPr>
        <w:t>I</w:t>
      </w:r>
      <w:r w:rsidR="00F34D50" w:rsidRPr="001F4E4A">
        <w:rPr>
          <w:sz w:val="24"/>
          <w:szCs w:val="24"/>
        </w:rPr>
        <w:t xml:space="preserve"> also attach with our compliments our most recent newsletter, which contains our latest thinking and articles around both pension and protection planning. </w:t>
      </w:r>
    </w:p>
    <w:p w:rsidR="00F34D50" w:rsidRPr="001F4E4A" w:rsidRDefault="00F34D50" w:rsidP="007F23D0">
      <w:pPr>
        <w:pStyle w:val="BodyText"/>
        <w:spacing w:line="276" w:lineRule="auto"/>
        <w:ind w:left="567" w:right="40"/>
        <w:jc w:val="both"/>
        <w:rPr>
          <w:sz w:val="24"/>
          <w:szCs w:val="24"/>
        </w:rPr>
      </w:pPr>
    </w:p>
    <w:p w:rsidR="00E045C6" w:rsidRPr="001F4E4A" w:rsidRDefault="00986DAD" w:rsidP="007F23D0">
      <w:pPr>
        <w:pStyle w:val="BodyText"/>
        <w:spacing w:before="1" w:line="276" w:lineRule="auto"/>
        <w:ind w:left="567" w:right="40"/>
        <w:jc w:val="both"/>
        <w:rPr>
          <w:sz w:val="24"/>
          <w:szCs w:val="24"/>
        </w:rPr>
      </w:pPr>
      <w:r w:rsidRPr="001F4E4A">
        <w:rPr>
          <w:sz w:val="24"/>
          <w:szCs w:val="24"/>
        </w:rPr>
        <w:t>Finally, thank you for choosing us to act as the Practitioner for your pension scheme.</w:t>
      </w:r>
    </w:p>
    <w:p w:rsidR="00E045C6" w:rsidRDefault="00E045C6" w:rsidP="007F23D0">
      <w:pPr>
        <w:spacing w:line="276" w:lineRule="auto"/>
        <w:ind w:left="1134" w:right="40"/>
        <w:jc w:val="both"/>
        <w:sectPr w:rsidR="00E045C6" w:rsidSect="007F23D0">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Pr="00F34D50" w:rsidRDefault="00F34D50" w:rsidP="007F23D0">
      <w:pPr>
        <w:pStyle w:val="Heading1"/>
        <w:numPr>
          <w:ilvl w:val="1"/>
          <w:numId w:val="2"/>
        </w:numPr>
        <w:tabs>
          <w:tab w:val="left" w:pos="1134"/>
        </w:tabs>
        <w:ind w:left="1134" w:right="40" w:hanging="567"/>
        <w:jc w:val="left"/>
      </w:pPr>
      <w:r>
        <w:rPr>
          <w:color w:val="1FAED5"/>
        </w:rPr>
        <w:t>Fund Composition</w:t>
      </w:r>
    </w:p>
    <w:p w:rsidR="00F34D50" w:rsidRDefault="00F34D50" w:rsidP="007F23D0">
      <w:pPr>
        <w:pStyle w:val="Heading1"/>
        <w:tabs>
          <w:tab w:val="left" w:pos="1600"/>
          <w:tab w:val="left" w:pos="1601"/>
        </w:tabs>
        <w:ind w:right="40" w:firstLine="0"/>
      </w:pPr>
    </w:p>
    <w:p w:rsidR="00F34D50" w:rsidRPr="00F34D50" w:rsidRDefault="001F4E4A" w:rsidP="007F23D0">
      <w:pPr>
        <w:pStyle w:val="Heading1"/>
        <w:ind w:left="0" w:right="40" w:firstLine="0"/>
      </w:pPr>
      <w:r>
        <w:rPr>
          <w:noProof/>
        </w:rPr>
        <w:drawing>
          <wp:inline distT="0" distB="0" distL="0" distR="0" wp14:anchorId="3C505504" wp14:editId="60B89BFA">
            <wp:extent cx="5865554" cy="3196856"/>
            <wp:effectExtent l="0" t="0" r="0" b="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4D50" w:rsidRDefault="00F34D50" w:rsidP="007F23D0">
      <w:pPr>
        <w:pStyle w:val="Heading1"/>
        <w:tabs>
          <w:tab w:val="left" w:pos="1600"/>
          <w:tab w:val="left" w:pos="1601"/>
        </w:tabs>
        <w:ind w:right="40" w:firstLine="0"/>
      </w:pPr>
    </w:p>
    <w:p w:rsidR="00BD1A4E" w:rsidRDefault="001F4E4A" w:rsidP="007F23D0">
      <w:pPr>
        <w:pStyle w:val="Heading1"/>
        <w:ind w:left="142" w:right="40" w:firstLine="0"/>
        <w:jc w:val="both"/>
        <w:rPr>
          <w:b w:val="0"/>
          <w:sz w:val="24"/>
          <w:szCs w:val="24"/>
        </w:rPr>
      </w:pPr>
      <w:r>
        <w:rPr>
          <w:b w:val="0"/>
          <w:sz w:val="24"/>
          <w:szCs w:val="24"/>
        </w:rPr>
        <w:t>In respect of the property held by the scheme, the previous valuation was supplied in an email dated 18 November 2016</w:t>
      </w: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Pr="00F74D38" w:rsidRDefault="00BD1A4E" w:rsidP="007F23D0">
      <w:pPr>
        <w:pStyle w:val="Heading1"/>
        <w:ind w:left="142" w:right="40" w:firstLine="0"/>
        <w:jc w:val="both"/>
        <w:rPr>
          <w:b w:val="0"/>
          <w:sz w:val="24"/>
          <w:szCs w:val="24"/>
        </w:rPr>
      </w:pPr>
    </w:p>
    <w:p w:rsidR="00E045C6" w:rsidRDefault="00E045C6" w:rsidP="007F23D0">
      <w:pPr>
        <w:spacing w:line="233" w:lineRule="exact"/>
        <w:ind w:right="40"/>
      </w:pPr>
    </w:p>
    <w:p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rsidR="00E045C6" w:rsidRDefault="00E045C6" w:rsidP="007F23D0">
      <w:pPr>
        <w:pStyle w:val="BodyText"/>
        <w:spacing w:before="2"/>
        <w:ind w:right="40"/>
        <w:rPr>
          <w:b/>
          <w:sz w:val="12"/>
        </w:rPr>
      </w:pPr>
    </w:p>
    <w:p w:rsidR="00E045C6" w:rsidRDefault="00BD1A4E" w:rsidP="007F23D0">
      <w:pPr>
        <w:pStyle w:val="ListParagraph"/>
        <w:numPr>
          <w:ilvl w:val="1"/>
          <w:numId w:val="2"/>
        </w:numPr>
        <w:tabs>
          <w:tab w:val="left" w:pos="1134"/>
        </w:tabs>
        <w:spacing w:before="84"/>
        <w:ind w:left="1134" w:right="40" w:hanging="567"/>
        <w:jc w:val="left"/>
        <w:rPr>
          <w:b/>
          <w:sz w:val="48"/>
        </w:rPr>
      </w:pPr>
      <w:r>
        <w:rPr>
          <w:b/>
          <w:color w:val="1FAED5"/>
          <w:sz w:val="48"/>
        </w:rPr>
        <w:t>Scheme Tax Return</w:t>
      </w:r>
    </w:p>
    <w:p w:rsidR="00E045C6" w:rsidRDefault="00E045C6" w:rsidP="007F23D0">
      <w:pPr>
        <w:pStyle w:val="BodyText"/>
        <w:spacing w:before="1"/>
        <w:ind w:right="40"/>
        <w:rPr>
          <w:b/>
          <w:sz w:val="70"/>
        </w:rPr>
      </w:pPr>
    </w:p>
    <w:p w:rsidR="00BD1A4E" w:rsidRDefault="00BD1A4E" w:rsidP="007F23D0">
      <w:pPr>
        <w:pStyle w:val="BodyText"/>
        <w:spacing w:line="276" w:lineRule="auto"/>
        <w:ind w:left="567" w:right="40"/>
        <w:jc w:val="both"/>
      </w:pPr>
      <w:r>
        <w:t>Below is a copy of our tax report submission for the period ending 5 April 2017</w:t>
      </w:r>
      <w:r w:rsidR="000A72D5">
        <w:t xml:space="preserve"> and our supporting comments.</w:t>
      </w:r>
    </w:p>
    <w:p w:rsidR="00BD1A4E" w:rsidRDefault="00BD1A4E" w:rsidP="007F23D0">
      <w:pPr>
        <w:pStyle w:val="BodyText"/>
        <w:spacing w:line="276" w:lineRule="auto"/>
        <w:ind w:left="567" w:right="40"/>
        <w:jc w:val="both"/>
      </w:pPr>
    </w:p>
    <w:p w:rsidR="00BD1A4E" w:rsidRDefault="00BD1A4E" w:rsidP="007F23D0">
      <w:pPr>
        <w:pStyle w:val="BodyText"/>
        <w:spacing w:line="276" w:lineRule="auto"/>
        <w:ind w:left="567" w:right="40"/>
        <w:jc w:val="both"/>
      </w:pPr>
      <w: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w:t>
      </w:r>
      <w:r w:rsidR="001F4E4A">
        <w:t xml:space="preserve"> – even it is no longer trading or has been liquidated</w:t>
      </w:r>
      <w:r>
        <w:t xml:space="preserve"> that we report that information in the correct format.</w:t>
      </w:r>
      <w:r w:rsidR="008F332D">
        <w:t xml:space="preserve"> </w:t>
      </w:r>
    </w:p>
    <w:p w:rsidR="008F332D" w:rsidRDefault="008F332D" w:rsidP="007F23D0">
      <w:pPr>
        <w:pStyle w:val="BodyText"/>
        <w:spacing w:line="276" w:lineRule="auto"/>
        <w:ind w:left="567" w:right="40"/>
        <w:jc w:val="both"/>
      </w:pPr>
    </w:p>
    <w:p w:rsidR="008F332D" w:rsidRDefault="008F332D" w:rsidP="007F23D0">
      <w:pPr>
        <w:pStyle w:val="BodyText"/>
        <w:spacing w:line="276" w:lineRule="auto"/>
        <w:ind w:left="567" w:right="40"/>
        <w:jc w:val="both"/>
      </w:pPr>
      <w:r>
        <w:t>It is important that clients notify us in advance of any transactions involving either a scheme member, a close connected company or someone connected to a scheme member, such as a relative or business partner.</w:t>
      </w:r>
    </w:p>
    <w:p w:rsidR="000A72D5" w:rsidRDefault="000A72D5" w:rsidP="007F23D0">
      <w:pPr>
        <w:pStyle w:val="BodyText"/>
        <w:spacing w:line="276" w:lineRule="auto"/>
        <w:ind w:left="567" w:right="40"/>
        <w:jc w:val="both"/>
      </w:pPr>
    </w:p>
    <w:p w:rsidR="000A72D5" w:rsidRDefault="000A72D5" w:rsidP="007F23D0">
      <w:pPr>
        <w:pStyle w:val="BodyText"/>
        <w:spacing w:line="276" w:lineRule="auto"/>
        <w:ind w:left="567" w:right="40"/>
        <w:jc w:val="both"/>
      </w:pPr>
      <w:r>
        <w:t>The following data has been submitted</w:t>
      </w:r>
    </w:p>
    <w:p w:rsidR="00773D22" w:rsidRDefault="00773D22" w:rsidP="007F23D0">
      <w:pPr>
        <w:pStyle w:val="BodyText"/>
        <w:spacing w:line="276" w:lineRule="auto"/>
        <w:ind w:left="567" w:right="40"/>
        <w:jc w:val="both"/>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293"/>
        <w:gridCol w:w="554"/>
        <w:gridCol w:w="4888"/>
      </w:tblGrid>
      <w:tr w:rsidR="00773D22" w:rsidRPr="001F4E4A" w:rsidTr="001F4E4A">
        <w:trPr>
          <w:tblCellSpacing w:w="15" w:type="dxa"/>
        </w:trPr>
        <w:tc>
          <w:tcPr>
            <w:tcW w:w="2472" w:type="pct"/>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Pension Scheme Tax Reference</w:t>
            </w:r>
          </w:p>
        </w:tc>
        <w:tc>
          <w:tcPr>
            <w:tcW w:w="247" w:type="pct"/>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00071696RT</w:t>
            </w:r>
          </w:p>
        </w:tc>
      </w:tr>
      <w:tr w:rsidR="00773D22" w:rsidRPr="001F4E4A" w:rsidTr="00773D22">
        <w:trPr>
          <w:tblCellSpacing w:w="15" w:type="dxa"/>
        </w:trPr>
        <w:tc>
          <w:tcPr>
            <w:tcW w:w="0" w:type="auto"/>
            <w:shd w:val="clear" w:color="auto" w:fill="FFFFFF"/>
            <w:tcMar>
              <w:top w:w="45" w:type="dxa"/>
              <w:left w:w="45" w:type="dxa"/>
              <w:bottom w:w="45" w:type="dxa"/>
              <w:right w:w="45" w:type="dxa"/>
            </w:tcMa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Pension Scheme Name</w:t>
            </w:r>
          </w:p>
        </w:tc>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1F4E4A" w:rsidRDefault="00773D22" w:rsidP="001F4E4A">
            <w:pPr>
              <w:widowControl/>
              <w:autoSpaceDE/>
              <w:autoSpaceDN/>
              <w:ind w:left="567"/>
              <w:rPr>
                <w:rFonts w:eastAsia="Times New Roman"/>
                <w:lang w:bidi="ar-SA"/>
              </w:rPr>
            </w:pPr>
            <w:r w:rsidRPr="001F4E4A">
              <w:rPr>
                <w:rFonts w:eastAsia="Times New Roman"/>
                <w:lang w:bidi="ar-SA"/>
              </w:rPr>
              <w:t xml:space="preserve">Hoban Family Pension </w:t>
            </w:r>
          </w:p>
          <w:p w:rsidR="00773D22" w:rsidRPr="001F4E4A" w:rsidRDefault="00773D22" w:rsidP="001F4E4A">
            <w:pPr>
              <w:widowControl/>
              <w:autoSpaceDE/>
              <w:autoSpaceDN/>
              <w:ind w:left="567"/>
              <w:rPr>
                <w:rFonts w:eastAsia="Times New Roman"/>
                <w:lang w:bidi="ar-SA"/>
              </w:rPr>
            </w:pPr>
            <w:r w:rsidRPr="001F4E4A">
              <w:rPr>
                <w:rFonts w:eastAsia="Times New Roman"/>
                <w:lang w:bidi="ar-SA"/>
              </w:rPr>
              <w:t>Investment Fund</w:t>
            </w:r>
          </w:p>
        </w:tc>
      </w:tr>
      <w:tr w:rsidR="00773D22" w:rsidRPr="001F4E4A" w:rsidTr="00773D22">
        <w:trPr>
          <w:tblCellSpacing w:w="15" w:type="dxa"/>
        </w:trPr>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Is the scheme an Occupational scheme?</w:t>
            </w:r>
          </w:p>
        </w:tc>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Yes</w:t>
            </w:r>
          </w:p>
        </w:tc>
      </w:tr>
      <w:tr w:rsidR="00773D22" w:rsidRPr="001F4E4A" w:rsidTr="00773D22">
        <w:trPr>
          <w:tblCellSpacing w:w="15" w:type="dxa"/>
        </w:trPr>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Tax Year ended</w:t>
            </w:r>
          </w:p>
        </w:tc>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05 Apr 2017</w:t>
            </w:r>
          </w:p>
        </w:tc>
      </w:tr>
    </w:tbl>
    <w:p w:rsidR="00773D22" w:rsidRPr="001F4E4A" w:rsidRDefault="00773D22" w:rsidP="001F4E4A">
      <w:pPr>
        <w:widowControl/>
        <w:autoSpaceDE/>
        <w:autoSpaceDN/>
        <w:ind w:left="567"/>
        <w:rPr>
          <w:rFonts w:eastAsia="Times New Roman"/>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773D22" w:rsidRPr="001F4E4A" w:rsidTr="00773D22">
        <w:trPr>
          <w:tblCellSpacing w:w="15" w:type="dxa"/>
        </w:trPr>
        <w:tc>
          <w:tcPr>
            <w:tcW w:w="2500" w:type="pct"/>
            <w:shd w:val="clear" w:color="auto" w:fill="FFFFFF"/>
            <w:tcMar>
              <w:top w:w="45" w:type="dxa"/>
              <w:left w:w="45" w:type="dxa"/>
              <w:bottom w:w="45" w:type="dxa"/>
              <w:right w:w="45" w:type="dxa"/>
            </w:tcMa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773D22" w:rsidRPr="001F4E4A" w:rsidRDefault="00773D22" w:rsidP="001F4E4A">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No</w:t>
            </w:r>
          </w:p>
        </w:tc>
      </w:tr>
      <w:tr w:rsidR="00773D22" w:rsidRPr="001F4E4A" w:rsidTr="00773D22">
        <w:trPr>
          <w:tblCellSpacing w:w="15" w:type="dxa"/>
        </w:trPr>
        <w:tc>
          <w:tcPr>
            <w:tcW w:w="2500" w:type="pct"/>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£13837</w:t>
            </w:r>
          </w:p>
        </w:tc>
      </w:tr>
    </w:tbl>
    <w:p w:rsidR="00773D22" w:rsidRPr="001F4E4A" w:rsidRDefault="00773D22" w:rsidP="001F4E4A">
      <w:pPr>
        <w:widowControl/>
        <w:autoSpaceDE/>
        <w:autoSpaceDN/>
        <w:ind w:left="567"/>
        <w:rPr>
          <w:rFonts w:eastAsia="Times New Roman"/>
          <w:vanish/>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773D22" w:rsidRPr="001F4E4A" w:rsidTr="00773D22">
        <w:trPr>
          <w:tblCellSpacing w:w="15" w:type="dxa"/>
        </w:trPr>
        <w:tc>
          <w:tcPr>
            <w:tcW w:w="2500" w:type="pct"/>
            <w:shd w:val="clear" w:color="auto" w:fill="FFFFFF"/>
            <w:tcMar>
              <w:top w:w="45" w:type="dxa"/>
              <w:left w:w="45" w:type="dxa"/>
              <w:bottom w:w="45" w:type="dxa"/>
              <w:right w:w="45" w:type="dxa"/>
            </w:tcMa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773D22" w:rsidRPr="001F4E4A" w:rsidRDefault="00773D22" w:rsidP="001F4E4A">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Yes</w:t>
            </w:r>
          </w:p>
        </w:tc>
      </w:tr>
    </w:tbl>
    <w:p w:rsidR="00773D22" w:rsidRPr="001F4E4A" w:rsidRDefault="00773D22" w:rsidP="001F4E4A">
      <w:pPr>
        <w:widowControl/>
        <w:autoSpaceDE/>
        <w:autoSpaceDN/>
        <w:ind w:left="567"/>
        <w:rPr>
          <w:rFonts w:eastAsia="Times New Roman"/>
          <w:lang w:bidi="ar-SA"/>
        </w:rPr>
      </w:pPr>
    </w:p>
    <w:p w:rsidR="00773D22" w:rsidRPr="001F4E4A" w:rsidRDefault="00773D22" w:rsidP="001F4E4A">
      <w:pPr>
        <w:widowControl/>
        <w:shd w:val="clear" w:color="auto" w:fill="FFFFFF"/>
        <w:autoSpaceDE/>
        <w:autoSpaceDN/>
        <w:ind w:left="567"/>
        <w:rPr>
          <w:rFonts w:eastAsia="Times New Roman"/>
          <w:b/>
          <w:bCs/>
          <w:color w:val="92CDDC" w:themeColor="accent5" w:themeTint="99"/>
          <w:lang w:bidi="ar-SA"/>
        </w:rPr>
      </w:pPr>
      <w:r w:rsidRPr="001F4E4A">
        <w:rPr>
          <w:rFonts w:eastAsia="Times New Roman"/>
          <w:b/>
          <w:bCs/>
          <w:color w:val="92CDDC" w:themeColor="accent5" w:themeTint="99"/>
          <w:lang w:bidi="ar-SA"/>
        </w:rPr>
        <w:t>Connected Parties</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186"/>
        <w:gridCol w:w="661"/>
        <w:gridCol w:w="4888"/>
      </w:tblGrid>
      <w:tr w:rsidR="00773D22" w:rsidRPr="001F4E4A" w:rsidTr="001F4E4A">
        <w:trPr>
          <w:tblCellSpacing w:w="15" w:type="dxa"/>
        </w:trPr>
        <w:tc>
          <w:tcPr>
            <w:tcW w:w="2422" w:type="pct"/>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At any time during the period from 06/04/2016 to 05/04/2017 did the scheme either directly or indirectly own assets that it had acquired from either:</w:t>
            </w:r>
            <w:r w:rsidRPr="001F4E4A">
              <w:rPr>
                <w:rFonts w:eastAsia="Times New Roman"/>
                <w:lang w:bidi="ar-SA"/>
              </w:rPr>
              <w:br/>
              <w:t>a. a sponsoring employer or any person connected with that employer?</w:t>
            </w:r>
            <w:r w:rsidRPr="001F4E4A">
              <w:rPr>
                <w:rFonts w:eastAsia="Times New Roman"/>
                <w:lang w:bidi="ar-SA"/>
              </w:rPr>
              <w:br/>
            </w:r>
            <w:r w:rsidRPr="001F4E4A">
              <w:rPr>
                <w:rFonts w:eastAsia="Times New Roman"/>
                <w:i/>
                <w:iCs/>
                <w:lang w:bidi="ar-SA"/>
              </w:rPr>
              <w:t>or</w:t>
            </w:r>
            <w:r w:rsidRPr="001F4E4A">
              <w:rPr>
                <w:rFonts w:eastAsia="Times New Roman"/>
                <w:lang w:bidi="ar-SA"/>
              </w:rPr>
              <w:br/>
              <w:t xml:space="preserve">b. a person who was a director of or a person connected to a director of a close company </w:t>
            </w:r>
            <w:r w:rsidRPr="001F4E4A">
              <w:rPr>
                <w:rFonts w:eastAsia="Times New Roman"/>
                <w:lang w:bidi="ar-SA"/>
              </w:rPr>
              <w:lastRenderedPageBreak/>
              <w:t>that was also a sponsoring employer?</w:t>
            </w:r>
            <w:r w:rsidRPr="001F4E4A">
              <w:rPr>
                <w:rFonts w:eastAsia="Times New Roman"/>
                <w:lang w:bidi="ar-SA"/>
              </w:rPr>
              <w:br/>
            </w:r>
            <w:r w:rsidRPr="001F4E4A">
              <w:rPr>
                <w:rFonts w:eastAsia="Times New Roman"/>
                <w:i/>
                <w:iCs/>
                <w:lang w:bidi="ar-SA"/>
              </w:rPr>
              <w:t>or</w:t>
            </w:r>
            <w:r w:rsidRPr="001F4E4A">
              <w:rPr>
                <w:rFonts w:eastAsia="Times New Roman"/>
                <w:lang w:bidi="ar-SA"/>
              </w:rPr>
              <w:br/>
              <w:t>c. a person who was either a sole owner or partner or a person connected with the sole owner or partner of a business which was a sponsoring employer?</w:t>
            </w:r>
            <w:r w:rsidRPr="001F4E4A">
              <w:rPr>
                <w:rFonts w:eastAsia="Times New Roman"/>
                <w:lang w:bidi="ar-SA"/>
              </w:rPr>
              <w:br/>
            </w:r>
            <w:r w:rsidRPr="001F4E4A">
              <w:rPr>
                <w:rFonts w:eastAsia="Times New Roman"/>
                <w:i/>
                <w:iCs/>
                <w:lang w:bidi="ar-SA"/>
              </w:rPr>
              <w:t>or</w:t>
            </w:r>
            <w:r w:rsidRPr="001F4E4A">
              <w:rPr>
                <w:rFonts w:eastAsia="Times New Roman"/>
                <w:lang w:bidi="ar-SA"/>
              </w:rPr>
              <w:br/>
              <w:t>d. a member or person connected with a member?</w:t>
            </w:r>
          </w:p>
        </w:tc>
        <w:tc>
          <w:tcPr>
            <w:tcW w:w="297" w:type="pct"/>
            <w:shd w:val="clear" w:color="auto" w:fill="FFFFFF"/>
            <w:tcMar>
              <w:top w:w="45" w:type="dxa"/>
              <w:left w:w="45" w:type="dxa"/>
              <w:bottom w:w="45" w:type="dxa"/>
              <w:right w:w="45" w:type="dxa"/>
            </w:tcMar>
            <w:hideMark/>
          </w:tcPr>
          <w:p w:rsidR="00773D22" w:rsidRPr="001F4E4A" w:rsidRDefault="00773D22" w:rsidP="001F4E4A">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773D22" w:rsidRDefault="00773D22" w:rsidP="001F4E4A">
            <w:pPr>
              <w:widowControl/>
              <w:autoSpaceDE/>
              <w:autoSpaceDN/>
              <w:ind w:left="567"/>
              <w:rPr>
                <w:rFonts w:eastAsia="Times New Roman"/>
                <w:lang w:bidi="ar-SA"/>
              </w:rPr>
            </w:pPr>
            <w:r w:rsidRPr="001F4E4A">
              <w:rPr>
                <w:rFonts w:eastAsia="Times New Roman"/>
                <w:lang w:bidi="ar-SA"/>
              </w:rPr>
              <w:t>No</w:t>
            </w:r>
          </w:p>
          <w:p w:rsidR="001F4E4A" w:rsidRDefault="001F4E4A" w:rsidP="001F4E4A">
            <w:pPr>
              <w:widowControl/>
              <w:autoSpaceDE/>
              <w:autoSpaceDN/>
              <w:ind w:left="567"/>
              <w:rPr>
                <w:rFonts w:eastAsia="Times New Roman"/>
                <w:lang w:bidi="ar-SA"/>
              </w:rPr>
            </w:pPr>
          </w:p>
          <w:p w:rsidR="001F4E4A" w:rsidRDefault="001F4E4A" w:rsidP="001F4E4A">
            <w:pPr>
              <w:widowControl/>
              <w:autoSpaceDE/>
              <w:autoSpaceDN/>
              <w:ind w:left="567"/>
              <w:rPr>
                <w:rFonts w:eastAsia="Times New Roman"/>
                <w:lang w:bidi="ar-SA"/>
              </w:rPr>
            </w:pPr>
          </w:p>
          <w:p w:rsidR="001F4E4A" w:rsidRDefault="001F4E4A" w:rsidP="001F4E4A">
            <w:pPr>
              <w:widowControl/>
              <w:autoSpaceDE/>
              <w:autoSpaceDN/>
              <w:ind w:left="567"/>
              <w:rPr>
                <w:rFonts w:eastAsia="Times New Roman"/>
                <w:lang w:bidi="ar-SA"/>
              </w:rPr>
            </w:pPr>
          </w:p>
          <w:p w:rsidR="001F4E4A" w:rsidRDefault="001F4E4A" w:rsidP="001F4E4A">
            <w:pPr>
              <w:widowControl/>
              <w:autoSpaceDE/>
              <w:autoSpaceDN/>
              <w:ind w:left="567"/>
              <w:rPr>
                <w:rFonts w:eastAsia="Times New Roman"/>
                <w:lang w:bidi="ar-SA"/>
              </w:rPr>
            </w:pPr>
          </w:p>
          <w:p w:rsidR="001F4E4A" w:rsidRDefault="001F4E4A" w:rsidP="001F4E4A">
            <w:pPr>
              <w:widowControl/>
              <w:autoSpaceDE/>
              <w:autoSpaceDN/>
              <w:ind w:left="567"/>
              <w:rPr>
                <w:rFonts w:eastAsia="Times New Roman"/>
                <w:lang w:bidi="ar-SA"/>
              </w:rPr>
            </w:pPr>
          </w:p>
          <w:p w:rsidR="001F4E4A" w:rsidRDefault="001F4E4A" w:rsidP="001F4E4A">
            <w:pPr>
              <w:widowControl/>
              <w:autoSpaceDE/>
              <w:autoSpaceDN/>
              <w:ind w:left="567"/>
              <w:rPr>
                <w:rFonts w:eastAsia="Times New Roman"/>
                <w:lang w:bidi="ar-SA"/>
              </w:rPr>
            </w:pPr>
          </w:p>
          <w:p w:rsidR="001F4E4A" w:rsidRDefault="001F4E4A" w:rsidP="001F4E4A">
            <w:pPr>
              <w:widowControl/>
              <w:autoSpaceDE/>
              <w:autoSpaceDN/>
              <w:ind w:left="567"/>
              <w:rPr>
                <w:rFonts w:eastAsia="Times New Roman"/>
                <w:lang w:bidi="ar-SA"/>
              </w:rPr>
            </w:pPr>
          </w:p>
          <w:p w:rsidR="001F4E4A" w:rsidRDefault="001F4E4A" w:rsidP="001F4E4A">
            <w:pPr>
              <w:widowControl/>
              <w:autoSpaceDE/>
              <w:autoSpaceDN/>
              <w:ind w:left="567"/>
              <w:rPr>
                <w:rFonts w:eastAsia="Times New Roman"/>
                <w:lang w:bidi="ar-SA"/>
              </w:rPr>
            </w:pPr>
          </w:p>
          <w:p w:rsidR="001F4E4A" w:rsidRDefault="001F4E4A" w:rsidP="001F4E4A">
            <w:pPr>
              <w:widowControl/>
              <w:autoSpaceDE/>
              <w:autoSpaceDN/>
              <w:ind w:left="567"/>
              <w:rPr>
                <w:rFonts w:eastAsia="Times New Roman"/>
                <w:lang w:bidi="ar-SA"/>
              </w:rPr>
            </w:pPr>
          </w:p>
          <w:p w:rsidR="001F4E4A" w:rsidRDefault="001F4E4A" w:rsidP="001F4E4A">
            <w:pPr>
              <w:widowControl/>
              <w:autoSpaceDE/>
              <w:autoSpaceDN/>
              <w:ind w:left="567"/>
              <w:rPr>
                <w:rFonts w:eastAsia="Times New Roman"/>
                <w:lang w:bidi="ar-SA"/>
              </w:rPr>
            </w:pPr>
          </w:p>
          <w:p w:rsidR="001F4E4A" w:rsidRDefault="001F4E4A" w:rsidP="001F4E4A">
            <w:pPr>
              <w:widowControl/>
              <w:autoSpaceDE/>
              <w:autoSpaceDN/>
              <w:ind w:left="567"/>
              <w:rPr>
                <w:rFonts w:eastAsia="Times New Roman"/>
                <w:lang w:bidi="ar-SA"/>
              </w:rPr>
            </w:pPr>
          </w:p>
          <w:p w:rsidR="001F4E4A" w:rsidRDefault="001F4E4A" w:rsidP="001F4E4A">
            <w:pPr>
              <w:widowControl/>
              <w:autoSpaceDE/>
              <w:autoSpaceDN/>
              <w:ind w:left="567"/>
              <w:rPr>
                <w:rFonts w:eastAsia="Times New Roman"/>
                <w:lang w:bidi="ar-SA"/>
              </w:rPr>
            </w:pPr>
          </w:p>
          <w:p w:rsidR="001F4E4A" w:rsidRDefault="001F4E4A" w:rsidP="001F4E4A">
            <w:pPr>
              <w:widowControl/>
              <w:autoSpaceDE/>
              <w:autoSpaceDN/>
              <w:ind w:left="567"/>
              <w:rPr>
                <w:rFonts w:eastAsia="Times New Roman"/>
                <w:lang w:bidi="ar-SA"/>
              </w:rPr>
            </w:pPr>
          </w:p>
          <w:p w:rsidR="001F4E4A" w:rsidRDefault="001F4E4A" w:rsidP="001F4E4A">
            <w:pPr>
              <w:widowControl/>
              <w:autoSpaceDE/>
              <w:autoSpaceDN/>
              <w:ind w:left="567"/>
              <w:rPr>
                <w:rFonts w:eastAsia="Times New Roman"/>
                <w:lang w:bidi="ar-SA"/>
              </w:rPr>
            </w:pPr>
          </w:p>
          <w:p w:rsidR="001F4E4A" w:rsidRDefault="001F4E4A" w:rsidP="001F4E4A">
            <w:pPr>
              <w:widowControl/>
              <w:autoSpaceDE/>
              <w:autoSpaceDN/>
              <w:ind w:left="567"/>
              <w:rPr>
                <w:rFonts w:eastAsia="Times New Roman"/>
                <w:lang w:bidi="ar-SA"/>
              </w:rPr>
            </w:pPr>
          </w:p>
          <w:p w:rsidR="001F4E4A" w:rsidRDefault="001F4E4A" w:rsidP="001F4E4A">
            <w:pPr>
              <w:widowControl/>
              <w:autoSpaceDE/>
              <w:autoSpaceDN/>
              <w:ind w:left="567"/>
              <w:rPr>
                <w:rFonts w:eastAsia="Times New Roman"/>
                <w:lang w:bidi="ar-SA"/>
              </w:rPr>
            </w:pPr>
            <w:r>
              <w:rPr>
                <w:rFonts w:eastAsia="Times New Roman"/>
                <w:lang w:bidi="ar-SA"/>
              </w:rPr>
              <w:t>No</w:t>
            </w:r>
          </w:p>
          <w:p w:rsidR="001F4E4A" w:rsidRPr="001F4E4A" w:rsidRDefault="001F4E4A" w:rsidP="001F4E4A">
            <w:pPr>
              <w:widowControl/>
              <w:autoSpaceDE/>
              <w:autoSpaceDN/>
              <w:ind w:left="567"/>
              <w:rPr>
                <w:rFonts w:eastAsia="Times New Roman"/>
                <w:lang w:bidi="ar-SA"/>
              </w:rPr>
            </w:pPr>
          </w:p>
        </w:tc>
      </w:tr>
    </w:tbl>
    <w:p w:rsidR="00773D22" w:rsidRPr="001F4E4A" w:rsidRDefault="00773D22" w:rsidP="001F4E4A">
      <w:pPr>
        <w:widowControl/>
        <w:autoSpaceDE/>
        <w:autoSpaceDN/>
        <w:ind w:left="567"/>
        <w:rPr>
          <w:rFonts w:eastAsia="Times New Roman"/>
          <w:lang w:bidi="ar-SA"/>
        </w:rPr>
      </w:pPr>
    </w:p>
    <w:p w:rsidR="00773D22" w:rsidRPr="001F4E4A" w:rsidRDefault="00773D22" w:rsidP="001F4E4A">
      <w:pPr>
        <w:widowControl/>
        <w:shd w:val="clear" w:color="auto" w:fill="FFFFFF"/>
        <w:autoSpaceDE/>
        <w:autoSpaceDN/>
        <w:ind w:left="567"/>
        <w:rPr>
          <w:rFonts w:eastAsia="Times New Roman"/>
          <w:b/>
          <w:bCs/>
          <w:color w:val="92CDDC" w:themeColor="accent5" w:themeTint="99"/>
          <w:lang w:bidi="ar-SA"/>
        </w:rPr>
      </w:pPr>
      <w:r w:rsidRPr="001F4E4A">
        <w:rPr>
          <w:rFonts w:eastAsia="Times New Roman"/>
          <w:b/>
          <w:bCs/>
          <w:color w:val="92CDDC" w:themeColor="accent5" w:themeTint="99"/>
          <w:lang w:bidi="ar-SA"/>
        </w:rPr>
        <w:t>Cash and Bank Information</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773D22" w:rsidRPr="001F4E4A" w:rsidTr="00773D22">
        <w:trPr>
          <w:tblCellSpacing w:w="15" w:type="dxa"/>
        </w:trPr>
        <w:tc>
          <w:tcPr>
            <w:tcW w:w="2500" w:type="pct"/>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£31269</w:t>
            </w:r>
          </w:p>
        </w:tc>
      </w:tr>
      <w:tr w:rsidR="00773D22" w:rsidRPr="001F4E4A" w:rsidTr="00773D22">
        <w:trPr>
          <w:tblCellSpacing w:w="15" w:type="dxa"/>
        </w:trPr>
        <w:tc>
          <w:tcPr>
            <w:tcW w:w="2500" w:type="pct"/>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£19840</w:t>
            </w:r>
          </w:p>
        </w:tc>
      </w:tr>
      <w:tr w:rsidR="00773D22" w:rsidRPr="001F4E4A" w:rsidTr="00773D22">
        <w:trPr>
          <w:tblCellSpacing w:w="15" w:type="dxa"/>
        </w:trPr>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£0</w:t>
            </w:r>
          </w:p>
        </w:tc>
      </w:tr>
    </w:tbl>
    <w:p w:rsidR="00773D22" w:rsidRPr="001F4E4A" w:rsidRDefault="00773D22" w:rsidP="001F4E4A">
      <w:pPr>
        <w:widowControl/>
        <w:autoSpaceDE/>
        <w:autoSpaceDN/>
        <w:ind w:left="567"/>
        <w:rPr>
          <w:rFonts w:eastAsia="Times New Roman"/>
          <w:lang w:bidi="ar-SA"/>
        </w:rPr>
      </w:pPr>
    </w:p>
    <w:p w:rsidR="00773D22" w:rsidRPr="001F4E4A" w:rsidRDefault="00773D22" w:rsidP="001F4E4A">
      <w:pPr>
        <w:widowControl/>
        <w:shd w:val="clear" w:color="auto" w:fill="FFFFFF"/>
        <w:autoSpaceDE/>
        <w:autoSpaceDN/>
        <w:ind w:left="567"/>
        <w:rPr>
          <w:rFonts w:eastAsia="Times New Roman"/>
          <w:b/>
          <w:bCs/>
          <w:color w:val="92CDDC" w:themeColor="accent5" w:themeTint="99"/>
          <w:lang w:bidi="ar-SA"/>
        </w:rPr>
      </w:pPr>
      <w:proofErr w:type="spellStart"/>
      <w:r w:rsidRPr="001F4E4A">
        <w:rPr>
          <w:rFonts w:eastAsia="Times New Roman"/>
          <w:b/>
          <w:bCs/>
          <w:color w:val="92CDDC" w:themeColor="accent5" w:themeTint="99"/>
          <w:lang w:bidi="ar-SA"/>
        </w:rPr>
        <w:t>Arms Length</w:t>
      </w:r>
      <w:proofErr w:type="spellEnd"/>
      <w:r w:rsidRPr="001F4E4A">
        <w:rPr>
          <w:rFonts w:eastAsia="Times New Roman"/>
          <w:b/>
          <w:bCs/>
          <w:color w:val="92CDDC" w:themeColor="accent5" w:themeTint="99"/>
          <w:lang w:bidi="ar-SA"/>
        </w:rPr>
        <w:t xml:space="preserve"> Transactions</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773D22" w:rsidRPr="001F4E4A" w:rsidTr="00773D22">
        <w:trPr>
          <w:tblCellSpacing w:w="15" w:type="dxa"/>
        </w:trPr>
        <w:tc>
          <w:tcPr>
            <w:tcW w:w="2500" w:type="pct"/>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Total cost or market value of any assets owned at the end of the period</w:t>
            </w:r>
            <w:r w:rsidRPr="001F4E4A">
              <w:rPr>
                <w:rFonts w:eastAsia="Times New Roman"/>
                <w:lang w:bidi="ar-SA"/>
              </w:rPr>
              <w:br/>
              <w:t>Specify whether this amount is</w:t>
            </w:r>
          </w:p>
        </w:tc>
        <w:tc>
          <w:tcPr>
            <w:tcW w:w="250" w:type="pct"/>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w:t>
            </w:r>
            <w:r w:rsidR="001F4E4A" w:rsidRPr="001F4E4A">
              <w:rPr>
                <w:rFonts w:eastAsia="Times New Roman"/>
                <w:lang w:bidi="ar-SA"/>
              </w:rPr>
              <w:t>738622</w:t>
            </w:r>
            <w:r w:rsidRPr="001F4E4A">
              <w:rPr>
                <w:rFonts w:eastAsia="Times New Roman"/>
                <w:lang w:bidi="ar-SA"/>
              </w:rPr>
              <w:br/>
            </w:r>
            <w:r w:rsidRPr="001F4E4A">
              <w:rPr>
                <w:rFonts w:eastAsia="Times New Roman"/>
                <w:lang w:bidi="ar-SA"/>
              </w:rPr>
              <w:br/>
              <w:t>Market value</w:t>
            </w:r>
          </w:p>
        </w:tc>
      </w:tr>
    </w:tbl>
    <w:p w:rsidR="00773D22" w:rsidRPr="001F4E4A" w:rsidRDefault="00773D22" w:rsidP="001F4E4A">
      <w:pPr>
        <w:widowControl/>
        <w:autoSpaceDE/>
        <w:autoSpaceDN/>
        <w:ind w:left="567"/>
        <w:rPr>
          <w:rFonts w:eastAsia="Times New Roman"/>
          <w:vanish/>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773D22" w:rsidRPr="001F4E4A" w:rsidTr="00773D22">
        <w:trPr>
          <w:tblCellSpacing w:w="15" w:type="dxa"/>
        </w:trPr>
        <w:tc>
          <w:tcPr>
            <w:tcW w:w="2500" w:type="pct"/>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Total amount of income from assets received</w:t>
            </w:r>
          </w:p>
        </w:tc>
        <w:tc>
          <w:tcPr>
            <w:tcW w:w="250" w:type="pct"/>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773D22" w:rsidRPr="001F4E4A" w:rsidRDefault="00773D22" w:rsidP="001F4E4A">
            <w:pPr>
              <w:widowControl/>
              <w:autoSpaceDE/>
              <w:autoSpaceDN/>
              <w:ind w:left="567"/>
              <w:rPr>
                <w:rFonts w:eastAsia="Times New Roman"/>
                <w:lang w:bidi="ar-SA"/>
              </w:rPr>
            </w:pPr>
            <w:r w:rsidRPr="001F4E4A">
              <w:rPr>
                <w:rFonts w:eastAsia="Times New Roman"/>
                <w:lang w:bidi="ar-SA"/>
              </w:rPr>
              <w:t>£39323</w:t>
            </w:r>
          </w:p>
        </w:tc>
      </w:tr>
    </w:tbl>
    <w:p w:rsidR="00773D22" w:rsidRPr="001F4E4A" w:rsidRDefault="00773D22" w:rsidP="001F4E4A">
      <w:pPr>
        <w:pStyle w:val="BodyText"/>
        <w:spacing w:line="276" w:lineRule="auto"/>
        <w:ind w:left="567" w:right="40"/>
        <w:jc w:val="both"/>
      </w:pPr>
    </w:p>
    <w:p w:rsidR="00BD1A4E" w:rsidRDefault="00BD1A4E" w:rsidP="001F4E4A">
      <w:pPr>
        <w:pStyle w:val="BodyText"/>
        <w:spacing w:line="276" w:lineRule="auto"/>
        <w:ind w:left="567" w:right="40"/>
        <w:jc w:val="both"/>
      </w:pPr>
    </w:p>
    <w:p w:rsidR="00AC3193" w:rsidRPr="008F332D" w:rsidRDefault="00AC3193" w:rsidP="007F23D0">
      <w:pPr>
        <w:pStyle w:val="BodyText"/>
        <w:spacing w:line="276" w:lineRule="auto"/>
        <w:ind w:left="567" w:right="40"/>
        <w:jc w:val="both"/>
        <w:rPr>
          <w:b/>
        </w:rPr>
      </w:pPr>
      <w:r w:rsidRPr="008F332D">
        <w:rPr>
          <w:b/>
        </w:rPr>
        <w:t>Connected Party</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left="567" w:right="40"/>
        <w:jc w:val="both"/>
        <w:rPr>
          <w:rFonts w:eastAsia="Times New Roman"/>
          <w:color w:val="0B0C0C"/>
          <w:sz w:val="23"/>
          <w:szCs w:val="23"/>
          <w:lang w:bidi="ar-SA"/>
        </w:rPr>
      </w:pPr>
      <w:r w:rsidRPr="00DF1CFF">
        <w:rPr>
          <w:rFonts w:eastAsia="Times New Roman"/>
          <w:color w:val="0B0C0C"/>
          <w:sz w:val="23"/>
          <w:szCs w:val="23"/>
          <w:lang w:bidi="ar-SA"/>
        </w:rPr>
        <w:t xml:space="preserve">If you are unsure of the connected status of the scheme’s </w:t>
      </w:r>
      <w:proofErr w:type="gramStart"/>
      <w:r w:rsidRPr="00DF1CFF">
        <w:rPr>
          <w:rFonts w:eastAsia="Times New Roman"/>
          <w:color w:val="0B0C0C"/>
          <w:sz w:val="23"/>
          <w:szCs w:val="23"/>
          <w:lang w:bidi="ar-SA"/>
        </w:rPr>
        <w:t>holdings</w:t>
      </w:r>
      <w:proofErr w:type="gramEnd"/>
      <w:r w:rsidRPr="00DF1CFF">
        <w:rPr>
          <w:rFonts w:eastAsia="Times New Roman"/>
          <w:color w:val="0B0C0C"/>
          <w:sz w:val="23"/>
          <w:szCs w:val="23"/>
          <w:lang w:bidi="ar-SA"/>
        </w:rPr>
        <w:t xml:space="preserve"> please let us know and we will ensure that you are covered.</w:t>
      </w:r>
    </w:p>
    <w:p w:rsidR="00AC3193" w:rsidRPr="00DF1CFF" w:rsidRDefault="00AC3193" w:rsidP="007F23D0">
      <w:pPr>
        <w:pStyle w:val="BodyText"/>
        <w:spacing w:line="276" w:lineRule="auto"/>
        <w:ind w:left="567" w:right="40"/>
        <w:jc w:val="both"/>
        <w:rPr>
          <w:sz w:val="23"/>
          <w:szCs w:val="23"/>
        </w:rPr>
      </w:pPr>
    </w:p>
    <w:p w:rsidR="00AC3193" w:rsidRPr="00DF1CFF" w:rsidRDefault="00AC3193" w:rsidP="007F23D0">
      <w:pPr>
        <w:widowControl/>
        <w:shd w:val="clear" w:color="auto" w:fill="FFFFFF"/>
        <w:autoSpaceDE/>
        <w:autoSpaceDN/>
        <w:spacing w:after="75"/>
        <w:ind w:left="567" w:right="40"/>
        <w:rPr>
          <w:rFonts w:eastAsia="Times New Roman"/>
          <w:color w:val="0B0C0C"/>
          <w:sz w:val="23"/>
          <w:szCs w:val="23"/>
          <w:lang w:bidi="ar-SA"/>
        </w:rPr>
      </w:pPr>
      <w:r w:rsidRPr="00DF1CFF">
        <w:rPr>
          <w:rFonts w:eastAsia="Times New Roman"/>
          <w:color w:val="0B0C0C"/>
          <w:sz w:val="23"/>
          <w:szCs w:val="23"/>
          <w:lang w:bidi="ar-SA"/>
        </w:rPr>
        <w:t xml:space="preserve">The following are </w:t>
      </w:r>
      <w:r w:rsidR="001F4E4A">
        <w:rPr>
          <w:rFonts w:eastAsia="Times New Roman"/>
          <w:color w:val="0B0C0C"/>
          <w:sz w:val="23"/>
          <w:szCs w:val="23"/>
          <w:lang w:bidi="ar-SA"/>
        </w:rPr>
        <w:t>recorded as current un</w:t>
      </w:r>
      <w:r w:rsidRPr="00DF1CFF">
        <w:rPr>
          <w:rFonts w:eastAsia="Times New Roman"/>
          <w:color w:val="0B0C0C"/>
          <w:sz w:val="23"/>
          <w:szCs w:val="23"/>
          <w:lang w:bidi="ar-SA"/>
        </w:rPr>
        <w:t>connected holdings:</w:t>
      </w:r>
    </w:p>
    <w:p w:rsidR="00AC3193" w:rsidRPr="00DF1CFF" w:rsidRDefault="00AC3193" w:rsidP="007F23D0">
      <w:pPr>
        <w:widowControl/>
        <w:shd w:val="clear" w:color="auto" w:fill="FFFFFF"/>
        <w:autoSpaceDE/>
        <w:autoSpaceDN/>
        <w:spacing w:after="75"/>
        <w:ind w:left="567" w:right="40"/>
        <w:rPr>
          <w:rFonts w:eastAsia="Times New Roman"/>
          <w:color w:val="0B0C0C"/>
          <w:sz w:val="23"/>
          <w:szCs w:val="23"/>
          <w:lang w:bidi="ar-SA"/>
        </w:rPr>
      </w:pPr>
    </w:p>
    <w:p w:rsidR="001F4E4A" w:rsidRDefault="00AC3193" w:rsidP="001F4E4A">
      <w:pPr>
        <w:pStyle w:val="ListParagraph"/>
        <w:widowControl/>
        <w:shd w:val="clear" w:color="auto" w:fill="FFFFFF"/>
        <w:autoSpaceDE/>
        <w:autoSpaceDN/>
        <w:spacing w:after="75"/>
        <w:ind w:left="567" w:right="40"/>
        <w:rPr>
          <w:rFonts w:eastAsia="Times New Roman"/>
          <w:color w:val="0B0C0C"/>
          <w:sz w:val="23"/>
          <w:szCs w:val="23"/>
          <w:lang w:bidi="ar-SA"/>
        </w:rPr>
      </w:pPr>
      <w:r w:rsidRPr="00DF1CFF">
        <w:rPr>
          <w:rFonts w:eastAsia="Times New Roman"/>
          <w:color w:val="0B0C0C"/>
          <w:sz w:val="23"/>
          <w:szCs w:val="23"/>
          <w:lang w:bidi="ar-SA"/>
        </w:rPr>
        <w:t>The propert</w:t>
      </w:r>
      <w:r w:rsidR="001F4E4A">
        <w:rPr>
          <w:rFonts w:eastAsia="Times New Roman"/>
          <w:color w:val="0B0C0C"/>
          <w:sz w:val="23"/>
          <w:szCs w:val="23"/>
          <w:lang w:bidi="ar-SA"/>
        </w:rPr>
        <w:t>ies a</w:t>
      </w:r>
      <w:r w:rsidRPr="00DF1CFF">
        <w:rPr>
          <w:rFonts w:eastAsia="Times New Roman"/>
          <w:color w:val="0B0C0C"/>
          <w:sz w:val="23"/>
          <w:szCs w:val="23"/>
          <w:lang w:bidi="ar-SA"/>
        </w:rPr>
        <w:t xml:space="preserve">t </w:t>
      </w:r>
      <w:r w:rsidR="001F4E4A">
        <w:rPr>
          <w:sz w:val="23"/>
          <w:szCs w:val="23"/>
        </w:rPr>
        <w:t>2 Rugby Park</w:t>
      </w:r>
      <w:r w:rsidRPr="00DF1CFF">
        <w:rPr>
          <w:rFonts w:eastAsia="Times New Roman"/>
          <w:color w:val="0B0C0C"/>
          <w:sz w:val="23"/>
          <w:szCs w:val="23"/>
          <w:lang w:bidi="ar-SA"/>
        </w:rPr>
        <w:t xml:space="preserve"> </w:t>
      </w:r>
      <w:r w:rsidR="001F4E4A">
        <w:rPr>
          <w:rFonts w:eastAsia="Times New Roman"/>
          <w:color w:val="0B0C0C"/>
          <w:sz w:val="23"/>
          <w:szCs w:val="23"/>
          <w:lang w:bidi="ar-SA"/>
        </w:rPr>
        <w:t xml:space="preserve">and 19 Lionsgate. </w:t>
      </w:r>
    </w:p>
    <w:p w:rsidR="00AC3193" w:rsidRDefault="00AC3193" w:rsidP="007F23D0">
      <w:pPr>
        <w:widowControl/>
        <w:shd w:val="clear" w:color="auto" w:fill="FFFFFF"/>
        <w:autoSpaceDE/>
        <w:autoSpaceDN/>
        <w:spacing w:after="75"/>
        <w:ind w:left="567" w:right="40"/>
        <w:rPr>
          <w:rFonts w:eastAsia="Times New Roman"/>
          <w:color w:val="0B0C0C"/>
          <w:sz w:val="29"/>
          <w:szCs w:val="29"/>
          <w:lang w:bidi="ar-SA"/>
        </w:rPr>
      </w:pPr>
    </w:p>
    <w:p w:rsidR="00AC3193" w:rsidRPr="00AD38C1" w:rsidRDefault="00AD38C1" w:rsidP="007F23D0">
      <w:pPr>
        <w:pStyle w:val="BodyText"/>
        <w:spacing w:line="276" w:lineRule="auto"/>
        <w:ind w:left="567" w:right="40"/>
        <w:jc w:val="both"/>
        <w:rPr>
          <w:b/>
        </w:rPr>
      </w:pPr>
      <w:proofErr w:type="spellStart"/>
      <w:r w:rsidRPr="00AD38C1">
        <w:rPr>
          <w:b/>
        </w:rPr>
        <w:t>Arms Length</w:t>
      </w:r>
      <w:proofErr w:type="spellEnd"/>
      <w:r w:rsidRPr="00AD38C1">
        <w:rPr>
          <w:b/>
        </w:rPr>
        <w:t xml:space="preserve"> Transactions</w:t>
      </w:r>
    </w:p>
    <w:p w:rsidR="00AD38C1" w:rsidRDefault="00AD38C1" w:rsidP="007F23D0">
      <w:pPr>
        <w:pStyle w:val="BodyText"/>
        <w:spacing w:line="276" w:lineRule="auto"/>
        <w:ind w:left="567" w:right="40"/>
        <w:jc w:val="both"/>
      </w:pPr>
    </w:p>
    <w:p w:rsidR="00AD38C1" w:rsidRDefault="00AD38C1" w:rsidP="00AD38C1">
      <w:pPr>
        <w:pStyle w:val="BodyText"/>
        <w:spacing w:line="276" w:lineRule="auto"/>
        <w:ind w:left="567" w:right="40"/>
        <w:jc w:val="both"/>
        <w:rPr>
          <w:rFonts w:eastAsia="Times New Roman"/>
          <w:color w:val="0B0C0C"/>
          <w:sz w:val="23"/>
          <w:szCs w:val="23"/>
          <w:lang w:bidi="ar-SA"/>
        </w:rPr>
      </w:pPr>
      <w:proofErr w:type="spellStart"/>
      <w:r>
        <w:t>Arms length</w:t>
      </w:r>
      <w:proofErr w:type="spellEnd"/>
      <w:r>
        <w:t xml:space="preserve"> transactions is any person, body or firm that falls outside of the connected part definition given above. It is possible to change from connected party to </w:t>
      </w:r>
      <w:proofErr w:type="spellStart"/>
      <w:r>
        <w:t>arms length</w:t>
      </w:r>
      <w:proofErr w:type="spellEnd"/>
      <w:r>
        <w:t xml:space="preserve"> and vice versa. </w:t>
      </w:r>
      <w:r w:rsidRPr="00DF1CFF">
        <w:rPr>
          <w:rFonts w:eastAsia="Times New Roman"/>
          <w:color w:val="0B0C0C"/>
          <w:sz w:val="23"/>
          <w:szCs w:val="23"/>
          <w:lang w:bidi="ar-SA"/>
        </w:rPr>
        <w:t xml:space="preserve">If you are unsure of the </w:t>
      </w:r>
      <w:proofErr w:type="spellStart"/>
      <w:r>
        <w:rPr>
          <w:rFonts w:eastAsia="Times New Roman"/>
          <w:color w:val="0B0C0C"/>
          <w:sz w:val="23"/>
          <w:szCs w:val="23"/>
          <w:lang w:bidi="ar-SA"/>
        </w:rPr>
        <w:t>arms length</w:t>
      </w:r>
      <w:proofErr w:type="spellEnd"/>
      <w:r>
        <w:rPr>
          <w:rFonts w:eastAsia="Times New Roman"/>
          <w:color w:val="0B0C0C"/>
          <w:sz w:val="23"/>
          <w:szCs w:val="23"/>
          <w:lang w:bidi="ar-SA"/>
        </w:rPr>
        <w:t xml:space="preserve"> </w:t>
      </w:r>
      <w:r w:rsidRPr="00DF1CFF">
        <w:rPr>
          <w:rFonts w:eastAsia="Times New Roman"/>
          <w:color w:val="0B0C0C"/>
          <w:sz w:val="23"/>
          <w:szCs w:val="23"/>
          <w:lang w:bidi="ar-SA"/>
        </w:rPr>
        <w:t xml:space="preserve">status of the scheme’s </w:t>
      </w:r>
      <w:proofErr w:type="gramStart"/>
      <w:r w:rsidRPr="00DF1CFF">
        <w:rPr>
          <w:rFonts w:eastAsia="Times New Roman"/>
          <w:color w:val="0B0C0C"/>
          <w:sz w:val="23"/>
          <w:szCs w:val="23"/>
          <w:lang w:bidi="ar-SA"/>
        </w:rPr>
        <w:t>holdings</w:t>
      </w:r>
      <w:proofErr w:type="gramEnd"/>
      <w:r w:rsidRPr="00DF1CFF">
        <w:rPr>
          <w:rFonts w:eastAsia="Times New Roman"/>
          <w:color w:val="0B0C0C"/>
          <w:sz w:val="23"/>
          <w:szCs w:val="23"/>
          <w:lang w:bidi="ar-SA"/>
        </w:rPr>
        <w:t xml:space="preserve"> please let us know.</w:t>
      </w:r>
    </w:p>
    <w:p w:rsidR="00AD38C1" w:rsidRDefault="00AD38C1" w:rsidP="007F23D0">
      <w:pPr>
        <w:pStyle w:val="BodyText"/>
        <w:spacing w:line="276" w:lineRule="auto"/>
        <w:ind w:left="567" w:right="40"/>
        <w:jc w:val="both"/>
      </w:pPr>
    </w:p>
    <w:p w:rsidR="00AD38C1" w:rsidRPr="00DF1CFF" w:rsidRDefault="00AD38C1" w:rsidP="00AD38C1">
      <w:pPr>
        <w:widowControl/>
        <w:shd w:val="clear" w:color="auto" w:fill="FFFFFF"/>
        <w:autoSpaceDE/>
        <w:autoSpaceDN/>
        <w:spacing w:after="75"/>
        <w:ind w:left="567" w:right="40"/>
        <w:rPr>
          <w:rFonts w:eastAsia="Times New Roman"/>
          <w:color w:val="0B0C0C"/>
          <w:sz w:val="23"/>
          <w:szCs w:val="23"/>
          <w:lang w:bidi="ar-SA"/>
        </w:rPr>
      </w:pPr>
      <w:r w:rsidRPr="00DF1CFF">
        <w:rPr>
          <w:rFonts w:eastAsia="Times New Roman"/>
          <w:color w:val="0B0C0C"/>
          <w:sz w:val="23"/>
          <w:szCs w:val="23"/>
          <w:lang w:bidi="ar-SA"/>
        </w:rPr>
        <w:t xml:space="preserve">The following </w:t>
      </w:r>
      <w:proofErr w:type="spellStart"/>
      <w:r>
        <w:rPr>
          <w:rFonts w:eastAsia="Times New Roman"/>
          <w:color w:val="0B0C0C"/>
          <w:sz w:val="23"/>
          <w:szCs w:val="23"/>
          <w:lang w:bidi="ar-SA"/>
        </w:rPr>
        <w:t>arms length</w:t>
      </w:r>
      <w:proofErr w:type="spellEnd"/>
      <w:r w:rsidRPr="00DF1CFF">
        <w:rPr>
          <w:rFonts w:eastAsia="Times New Roman"/>
          <w:color w:val="0B0C0C"/>
          <w:sz w:val="23"/>
          <w:szCs w:val="23"/>
          <w:lang w:bidi="ar-SA"/>
        </w:rPr>
        <w:t xml:space="preserve"> holding</w:t>
      </w:r>
      <w:r w:rsidR="00841FFD">
        <w:rPr>
          <w:rFonts w:eastAsia="Times New Roman"/>
          <w:color w:val="0B0C0C"/>
          <w:sz w:val="23"/>
          <w:szCs w:val="23"/>
          <w:lang w:bidi="ar-SA"/>
        </w:rPr>
        <w:t xml:space="preserve"> was recorded</w:t>
      </w:r>
      <w:r w:rsidRPr="00DF1CFF">
        <w:rPr>
          <w:rFonts w:eastAsia="Times New Roman"/>
          <w:color w:val="0B0C0C"/>
          <w:sz w:val="23"/>
          <w:szCs w:val="23"/>
          <w:lang w:bidi="ar-SA"/>
        </w:rPr>
        <w:t>:</w:t>
      </w:r>
    </w:p>
    <w:p w:rsidR="00AD38C1" w:rsidRPr="00DF1CFF" w:rsidRDefault="00AD38C1" w:rsidP="00AD38C1">
      <w:pPr>
        <w:widowControl/>
        <w:shd w:val="clear" w:color="auto" w:fill="FFFFFF"/>
        <w:autoSpaceDE/>
        <w:autoSpaceDN/>
        <w:spacing w:after="75"/>
        <w:ind w:left="567" w:right="40"/>
        <w:rPr>
          <w:rFonts w:eastAsia="Times New Roman"/>
          <w:color w:val="0B0C0C"/>
          <w:sz w:val="23"/>
          <w:szCs w:val="23"/>
          <w:lang w:bidi="ar-SA"/>
        </w:rPr>
      </w:pPr>
    </w:p>
    <w:p w:rsidR="00AD38C1" w:rsidRPr="00DF1CFF" w:rsidRDefault="001F4E4A" w:rsidP="001F4E4A">
      <w:pPr>
        <w:pStyle w:val="ListParagraph"/>
        <w:widowControl/>
        <w:shd w:val="clear" w:color="auto" w:fill="FFFFFF"/>
        <w:autoSpaceDE/>
        <w:autoSpaceDN/>
        <w:spacing w:after="75"/>
        <w:ind w:left="567" w:right="40"/>
        <w:rPr>
          <w:rFonts w:eastAsia="Times New Roman"/>
          <w:color w:val="0B0C0C"/>
          <w:sz w:val="23"/>
          <w:szCs w:val="23"/>
          <w:lang w:bidi="ar-SA"/>
        </w:rPr>
      </w:pPr>
      <w:r>
        <w:rPr>
          <w:rFonts w:eastAsia="Times New Roman"/>
          <w:color w:val="0B0C0C"/>
          <w:sz w:val="23"/>
          <w:szCs w:val="23"/>
          <w:lang w:bidi="ar-SA"/>
        </w:rPr>
        <w:t xml:space="preserve">Share portfolio – all securities are held on </w:t>
      </w:r>
      <w:proofErr w:type="spellStart"/>
      <w:r>
        <w:rPr>
          <w:rFonts w:eastAsia="Times New Roman"/>
          <w:color w:val="0B0C0C"/>
          <w:sz w:val="23"/>
          <w:szCs w:val="23"/>
          <w:lang w:bidi="ar-SA"/>
        </w:rPr>
        <w:t>arms length</w:t>
      </w:r>
      <w:proofErr w:type="spellEnd"/>
      <w:r>
        <w:rPr>
          <w:rFonts w:eastAsia="Times New Roman"/>
          <w:color w:val="0B0C0C"/>
          <w:sz w:val="23"/>
          <w:szCs w:val="23"/>
          <w:lang w:bidi="ar-SA"/>
        </w:rPr>
        <w:t xml:space="preserve"> terms with no connection with the companies in which shares are held.</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left="567" w:right="40"/>
        <w:jc w:val="both"/>
      </w:pPr>
    </w:p>
    <w:p w:rsidR="001E1097" w:rsidRPr="001F4E4A" w:rsidRDefault="001F4E4A" w:rsidP="001F4E4A">
      <w:pPr>
        <w:pStyle w:val="ListParagraph"/>
        <w:numPr>
          <w:ilvl w:val="1"/>
          <w:numId w:val="2"/>
        </w:numPr>
        <w:ind w:hanging="1033"/>
        <w:jc w:val="left"/>
      </w:pPr>
      <w:r w:rsidRPr="001F4E4A">
        <w:rPr>
          <w:b/>
          <w:color w:val="1FAED5"/>
          <w:sz w:val="48"/>
        </w:rPr>
        <w:t>Scheme</w:t>
      </w:r>
      <w:r w:rsidR="001E1097" w:rsidRPr="001F4E4A">
        <w:rPr>
          <w:b/>
          <w:color w:val="1FAED5"/>
          <w:sz w:val="48"/>
        </w:rPr>
        <w:t xml:space="preserve"> Review</w:t>
      </w:r>
    </w:p>
    <w:p w:rsidR="001E1097" w:rsidRDefault="001E1097" w:rsidP="007F23D0">
      <w:pPr>
        <w:pStyle w:val="ListParagraph"/>
        <w:tabs>
          <w:tab w:val="left" w:pos="1276"/>
        </w:tabs>
        <w:spacing w:before="84"/>
        <w:ind w:left="1600" w:right="40"/>
        <w:rPr>
          <w:b/>
          <w:sz w:val="48"/>
        </w:rPr>
      </w:pPr>
    </w:p>
    <w:p w:rsidR="001F4E4A" w:rsidRDefault="001F4E4A" w:rsidP="001F4E4A">
      <w:pPr>
        <w:pStyle w:val="BodyText"/>
        <w:kinsoku w:val="0"/>
        <w:overflowPunct w:val="0"/>
        <w:spacing w:line="249" w:lineRule="auto"/>
        <w:ind w:left="567" w:right="40"/>
        <w:jc w:val="both"/>
      </w:pPr>
      <w:r>
        <w:t>Presently, the scheme is in drawdown arrangement and is categorised as capped drawdown. The rules changed in respect of drawdown of pensions and I have set this position below</w:t>
      </w:r>
    </w:p>
    <w:p w:rsidR="001F4E4A" w:rsidRDefault="001F4E4A" w:rsidP="001F4E4A">
      <w:pPr>
        <w:pStyle w:val="BodyText"/>
        <w:kinsoku w:val="0"/>
        <w:overflowPunct w:val="0"/>
        <w:spacing w:line="249" w:lineRule="auto"/>
        <w:ind w:left="567" w:right="40"/>
        <w:jc w:val="both"/>
      </w:pPr>
    </w:p>
    <w:p w:rsidR="001F4E4A" w:rsidRPr="001F4E4A" w:rsidRDefault="001F4E4A" w:rsidP="001F4E4A">
      <w:pPr>
        <w:widowControl/>
        <w:shd w:val="clear" w:color="auto" w:fill="FFFFFF"/>
        <w:autoSpaceDE/>
        <w:autoSpaceDN/>
        <w:spacing w:after="75"/>
        <w:ind w:left="567"/>
        <w:jc w:val="both"/>
        <w:rPr>
          <w:color w:val="0B0C0C"/>
        </w:rPr>
      </w:pPr>
      <w:r w:rsidRPr="001F4E4A">
        <w:rPr>
          <w:color w:val="0B0C0C"/>
        </w:rPr>
        <w:t>HMRC now permit as little or as much to be drawn from a pension scheme and this is known as flexi-access drawdown. Presently the pension payments are treated as capped drawdown and therefore the rules place greater restrictions on the amounts that can be paid.</w:t>
      </w:r>
    </w:p>
    <w:p w:rsidR="001F4E4A" w:rsidRPr="001F4E4A" w:rsidRDefault="001F4E4A" w:rsidP="001F4E4A">
      <w:pPr>
        <w:widowControl/>
        <w:shd w:val="clear" w:color="auto" w:fill="FFFFFF"/>
        <w:autoSpaceDE/>
        <w:autoSpaceDN/>
        <w:spacing w:after="75"/>
        <w:ind w:left="567"/>
        <w:jc w:val="both"/>
        <w:rPr>
          <w:color w:val="0B0C0C"/>
        </w:rPr>
      </w:pPr>
    </w:p>
    <w:p w:rsidR="001F4E4A" w:rsidRPr="001F4E4A" w:rsidRDefault="001F4E4A" w:rsidP="001F4E4A">
      <w:pPr>
        <w:widowControl/>
        <w:shd w:val="clear" w:color="auto" w:fill="FFFFFF"/>
        <w:autoSpaceDE/>
        <w:autoSpaceDN/>
        <w:spacing w:after="75"/>
        <w:ind w:left="567"/>
        <w:jc w:val="both"/>
        <w:rPr>
          <w:color w:val="0B0C0C"/>
        </w:rPr>
      </w:pPr>
      <w:r w:rsidRPr="001F4E4A">
        <w:rPr>
          <w:color w:val="0B0C0C"/>
        </w:rPr>
        <w:t xml:space="preserve">The rules also require periodic reviews of those pensions and following the completion of the scheme tax return I can confirm that the threshold amount for </w:t>
      </w:r>
      <w:r>
        <w:rPr>
          <w:color w:val="0B0C0C"/>
        </w:rPr>
        <w:t xml:space="preserve">capped </w:t>
      </w:r>
      <w:r w:rsidRPr="001F4E4A">
        <w:rPr>
          <w:color w:val="0B0C0C"/>
        </w:rPr>
        <w:t xml:space="preserve">drawdown is £65986.19 p.a. This means that if you were </w:t>
      </w:r>
      <w:proofErr w:type="gramStart"/>
      <w:r w:rsidRPr="001F4E4A">
        <w:rPr>
          <w:color w:val="0B0C0C"/>
        </w:rPr>
        <w:t>in a position</w:t>
      </w:r>
      <w:proofErr w:type="gramEnd"/>
      <w:r w:rsidRPr="001F4E4A">
        <w:rPr>
          <w:color w:val="0B0C0C"/>
        </w:rPr>
        <w:t xml:space="preserve"> to withdraw more than that from the scheme in this scheme or next scheme year, then it may be necessary to change the benefit basis.</w:t>
      </w:r>
    </w:p>
    <w:p w:rsidR="001F4E4A" w:rsidRPr="001F4E4A" w:rsidRDefault="001F4E4A" w:rsidP="001F4E4A">
      <w:pPr>
        <w:widowControl/>
        <w:shd w:val="clear" w:color="auto" w:fill="FFFFFF"/>
        <w:autoSpaceDE/>
        <w:autoSpaceDN/>
        <w:spacing w:after="75"/>
        <w:ind w:left="567"/>
        <w:jc w:val="both"/>
        <w:rPr>
          <w:color w:val="0B0C0C"/>
        </w:rPr>
      </w:pPr>
    </w:p>
    <w:p w:rsidR="001F4E4A" w:rsidRPr="001F4E4A" w:rsidRDefault="001F4E4A" w:rsidP="001F4E4A">
      <w:pPr>
        <w:widowControl/>
        <w:shd w:val="clear" w:color="auto" w:fill="FFFFFF"/>
        <w:autoSpaceDE/>
        <w:autoSpaceDN/>
        <w:spacing w:after="75"/>
        <w:ind w:left="567"/>
        <w:jc w:val="both"/>
        <w:rPr>
          <w:color w:val="0B0C0C"/>
        </w:rPr>
      </w:pPr>
      <w:r w:rsidRPr="001F4E4A">
        <w:rPr>
          <w:color w:val="0B0C0C"/>
        </w:rPr>
        <w:t>I do not propose to put in any scheme paperwork to make those changes as you are within your allowance and further the income paid is generally supported from the scheme’s income from properties held.</w:t>
      </w:r>
    </w:p>
    <w:p w:rsidR="001F4E4A" w:rsidRPr="001F4E4A" w:rsidRDefault="001F4E4A" w:rsidP="001F4E4A">
      <w:pPr>
        <w:widowControl/>
        <w:shd w:val="clear" w:color="auto" w:fill="FFFFFF"/>
        <w:autoSpaceDE/>
        <w:autoSpaceDN/>
        <w:spacing w:after="75"/>
        <w:ind w:left="300"/>
        <w:rPr>
          <w:color w:val="0B0C0C"/>
        </w:rPr>
      </w:pPr>
    </w:p>
    <w:p w:rsidR="00FB3542" w:rsidRDefault="00FB3542" w:rsidP="007F23D0">
      <w:pPr>
        <w:pStyle w:val="NormalWeb"/>
        <w:ind w:left="567" w:right="40"/>
        <w:rPr>
          <w:rFonts w:ascii="Arial" w:hAnsi="Arial" w:cs="Arial"/>
          <w:color w:val="000000"/>
          <w:sz w:val="29"/>
          <w:szCs w:val="29"/>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BD1A4E" w:rsidRDefault="00BD1A4E" w:rsidP="007F23D0">
      <w:pPr>
        <w:pStyle w:val="BodyText"/>
        <w:spacing w:line="276" w:lineRule="auto"/>
        <w:ind w:right="40"/>
        <w:jc w:val="both"/>
      </w:pPr>
    </w:p>
    <w:p w:rsidR="001F4E4A" w:rsidRDefault="001F4E4A" w:rsidP="007F23D0">
      <w:pPr>
        <w:pStyle w:val="BodyText"/>
        <w:spacing w:line="276" w:lineRule="auto"/>
        <w:ind w:right="40"/>
        <w:jc w:val="both"/>
      </w:pPr>
    </w:p>
    <w:p w:rsidR="001F4E4A" w:rsidRDefault="001F4E4A" w:rsidP="007F23D0">
      <w:pPr>
        <w:pStyle w:val="BodyText"/>
        <w:spacing w:line="276" w:lineRule="auto"/>
        <w:ind w:right="40"/>
        <w:jc w:val="both"/>
      </w:pPr>
    </w:p>
    <w:p w:rsidR="001F4E4A" w:rsidRDefault="001F4E4A" w:rsidP="007F23D0">
      <w:pPr>
        <w:pStyle w:val="BodyText"/>
        <w:spacing w:line="276" w:lineRule="auto"/>
        <w:ind w:right="40"/>
        <w:jc w:val="both"/>
      </w:pPr>
    </w:p>
    <w:p w:rsidR="001F4E4A" w:rsidRDefault="001F4E4A" w:rsidP="007F23D0">
      <w:pPr>
        <w:pStyle w:val="BodyText"/>
        <w:spacing w:line="276" w:lineRule="auto"/>
        <w:ind w:right="40"/>
        <w:jc w:val="both"/>
      </w:pPr>
    </w:p>
    <w:p w:rsidR="001F4E4A" w:rsidRDefault="001F4E4A" w:rsidP="007F23D0">
      <w:pPr>
        <w:pStyle w:val="BodyText"/>
        <w:spacing w:line="276" w:lineRule="auto"/>
        <w:ind w:right="40"/>
        <w:jc w:val="both"/>
      </w:pPr>
    </w:p>
    <w:p w:rsidR="00E045C6" w:rsidRDefault="00E045C6" w:rsidP="007F23D0">
      <w:pPr>
        <w:pStyle w:val="BodyText"/>
        <w:ind w:right="40"/>
      </w:pPr>
    </w:p>
    <w:p w:rsidR="001F4E4A" w:rsidRDefault="001F4E4A" w:rsidP="007F23D0">
      <w:pPr>
        <w:pStyle w:val="BodyText"/>
        <w:ind w:right="40"/>
      </w:pPr>
    </w:p>
    <w:p w:rsidR="001F4E4A" w:rsidRDefault="001F4E4A" w:rsidP="007F23D0">
      <w:pPr>
        <w:pStyle w:val="BodyText"/>
        <w:ind w:right="40"/>
      </w:pPr>
    </w:p>
    <w:p w:rsidR="00E045C6" w:rsidRDefault="00E045C6" w:rsidP="007F23D0">
      <w:pPr>
        <w:spacing w:line="276" w:lineRule="auto"/>
        <w:ind w:right="40"/>
        <w:jc w:val="both"/>
      </w:pPr>
    </w:p>
    <w:p w:rsidR="00E045C6" w:rsidRDefault="00E045C6" w:rsidP="007F23D0">
      <w:pPr>
        <w:pStyle w:val="BodyText"/>
        <w:ind w:right="40"/>
        <w:rPr>
          <w:sz w:val="20"/>
        </w:rPr>
      </w:pPr>
    </w:p>
    <w:p w:rsidR="00DF1CFF" w:rsidRPr="001F4E4A" w:rsidRDefault="00DF1CFF" w:rsidP="001F4E4A">
      <w:pPr>
        <w:pStyle w:val="ListParagraph"/>
        <w:numPr>
          <w:ilvl w:val="1"/>
          <w:numId w:val="2"/>
        </w:numPr>
        <w:spacing w:before="84"/>
        <w:ind w:left="1418" w:right="40" w:hanging="851"/>
        <w:jc w:val="left"/>
        <w:rPr>
          <w:b/>
          <w:sz w:val="48"/>
        </w:rPr>
      </w:pPr>
      <w:r w:rsidRPr="001F4E4A">
        <w:rPr>
          <w:b/>
          <w:color w:val="1FAED5"/>
          <w:sz w:val="48"/>
        </w:rPr>
        <w:lastRenderedPageBreak/>
        <w:t xml:space="preserve">Inflation and Interest Rate </w:t>
      </w:r>
      <w:r w:rsidRPr="001F4E4A">
        <w:rPr>
          <w:b/>
          <w:color w:val="1FAED5"/>
          <w:sz w:val="48"/>
        </w:rPr>
        <w:br/>
        <w:t>Outlook</w:t>
      </w:r>
    </w:p>
    <w:p w:rsidR="00DF1CFF" w:rsidRDefault="00DF1CFF" w:rsidP="007F23D0">
      <w:pPr>
        <w:pStyle w:val="ListParagraph"/>
        <w:tabs>
          <w:tab w:val="left" w:pos="1276"/>
        </w:tabs>
        <w:spacing w:before="84"/>
        <w:ind w:left="567" w:right="40"/>
        <w:jc w:val="both"/>
        <w:rPr>
          <w:b/>
          <w:sz w:val="48"/>
        </w:rPr>
      </w:pPr>
    </w:p>
    <w:p w:rsidR="00DF1CFF" w:rsidRDefault="00DF1CFF" w:rsidP="007F23D0">
      <w:pPr>
        <w:pStyle w:val="BodyText"/>
        <w:ind w:left="567" w:right="40"/>
        <w:jc w:val="both"/>
      </w:pPr>
      <w:r>
        <w:t>Bank’s Monetary Policy Committee (MPC)</w:t>
      </w:r>
      <w:r w:rsidR="00AC3193">
        <w:t xml:space="preserve"> set</w:t>
      </w:r>
      <w:r>
        <w:t xml:space="preserve"> a target for the annual inflation rate of the Consumer Prices Index of 2%. Subject to that, the MPC is also required to support the Government’s economic policy, including its objectives for growth and employment</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MPC’s central projection in the November Report was for four-quarter GDP growth to pick up from early 2018 and settle around 1¾%.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rsidR="00DF1CFF" w:rsidRDefault="00DF1CFF" w:rsidP="007F23D0">
      <w:pPr>
        <w:pStyle w:val="BodyText"/>
        <w:ind w:left="567" w:right="40"/>
        <w:jc w:val="both"/>
      </w:pPr>
    </w:p>
    <w:p w:rsidR="00DF1CFF" w:rsidRDefault="00DF1CFF" w:rsidP="007F23D0">
      <w:pPr>
        <w:pStyle w:val="BodyText"/>
        <w:ind w:left="567" w:right="40"/>
        <w:jc w:val="both"/>
      </w:pPr>
      <w: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rsidR="00DF1CFF" w:rsidRDefault="00DF1CFF" w:rsidP="007F23D0">
      <w:pPr>
        <w:pStyle w:val="BodyText"/>
        <w:ind w:left="567" w:right="40"/>
        <w:jc w:val="both"/>
      </w:pPr>
    </w:p>
    <w:p w:rsidR="00DF1CFF" w:rsidRDefault="00DF1CFF" w:rsidP="007F23D0">
      <w:pPr>
        <w:pStyle w:val="BodyText"/>
        <w:ind w:left="567" w:right="40"/>
        <w:jc w:val="both"/>
      </w:pPr>
      <w:r>
        <w:t xml:space="preserve">At its meeting ending on 13 December 2017, the MPC noted that the </w:t>
      </w:r>
      <w:proofErr w:type="gramStart"/>
      <w:r>
        <w:t>recent news</w:t>
      </w:r>
      <w:proofErr w:type="gramEnd"/>
      <w:r>
        <w:t xml:space="preserve"> in the macroeconomic data had been mixed and relatively limited. Global growth had remained strong, while some indicators of domestic activity in Q4 had softened a little. The measures announced in the Autumn Budget would lessen the drag on demand from fiscal consolidation, relative to previous plans. </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labour market remained tight, and the latest surveys suggested this would continue. The impact of November’s rise in Bank Rate on the interest rates faced by households and firms had been consistent with previous experience, but it was too early to form a comprehensive view of its effect on the economy.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CPI inflation had risen to 3.1% in November, slightly higher than the MPC had anticipated at the time of the November Report. The MPC continued to judge that inflation was likely to be close to its </w:t>
      </w:r>
      <w:proofErr w:type="gramStart"/>
      <w:r>
        <w:t>peak, and</w:t>
      </w:r>
      <w:proofErr w:type="gramEnd"/>
      <w:r>
        <w:t xml:space="preserve"> would decline towards the 2% </w:t>
      </w:r>
      <w:bookmarkStart w:id="0" w:name="_GoBack"/>
      <w:bookmarkEnd w:id="0"/>
      <w:r>
        <w:t xml:space="preserve">target in the medium term. </w:t>
      </w:r>
    </w:p>
    <w:p w:rsidR="00DF1CFF" w:rsidRDefault="00DF1CFF" w:rsidP="007F23D0">
      <w:pPr>
        <w:pStyle w:val="BodyText"/>
        <w:ind w:left="567" w:right="40"/>
        <w:jc w:val="both"/>
      </w:pPr>
    </w:p>
    <w:p w:rsidR="00DF1CFF" w:rsidRDefault="00DF1CFF" w:rsidP="007F23D0">
      <w:pPr>
        <w:pStyle w:val="BodyText"/>
        <w:ind w:left="567" w:right="40"/>
        <w:jc w:val="both"/>
      </w:pPr>
      <w:r>
        <w:t xml:space="preserve">All Committee members judged it appropriate to leave the stance of monetary policy unchanged. The MPC was of the view that, were the economy to follow the path expected in the November Report, further modest increases in Bank Rate would be warranted over the next few years, </w:t>
      </w:r>
      <w:proofErr w:type="gramStart"/>
      <w:r>
        <w:t>in order to</w:t>
      </w:r>
      <w:proofErr w:type="gramEnd"/>
      <w:r>
        <w:t xml:space="preserve"> return inflation sustainably to the target. </w:t>
      </w:r>
    </w:p>
    <w:p w:rsidR="00DF1CFF" w:rsidRDefault="00DF1CFF" w:rsidP="007F23D0">
      <w:pPr>
        <w:pStyle w:val="BodyText"/>
        <w:ind w:left="567" w:right="40"/>
        <w:jc w:val="both"/>
      </w:pPr>
    </w:p>
    <w:p w:rsidR="00DF1CFF" w:rsidRPr="00DF1CFF" w:rsidRDefault="00DF1CFF" w:rsidP="007F23D0">
      <w:pPr>
        <w:pStyle w:val="BodyText"/>
        <w:ind w:left="567" w:right="40"/>
        <w:jc w:val="both"/>
        <w:rPr>
          <w:b/>
          <w:sz w:val="48"/>
        </w:rPr>
      </w:pPr>
      <w:r>
        <w:t>Any future increases in Bank Rate were expected to be at a gradual pace and to a limited extent.</w:t>
      </w:r>
      <w:r w:rsidR="00AC3193">
        <w:t xml:space="preserve"> We expect a further increase of 0.25% of interest rates in 2018.</w:t>
      </w:r>
    </w:p>
    <w:p w:rsidR="00E045C6" w:rsidRDefault="00E045C6" w:rsidP="007F23D0">
      <w:pPr>
        <w:pStyle w:val="BodyText"/>
        <w:ind w:left="567" w:right="40"/>
        <w:jc w:val="both"/>
        <w:rPr>
          <w:b/>
          <w:sz w:val="20"/>
        </w:rPr>
      </w:pPr>
    </w:p>
    <w:p w:rsidR="00B20A31" w:rsidRDefault="00B20A31">
      <w:pPr>
        <w:rPr>
          <w:b/>
          <w:sz w:val="12"/>
        </w:rPr>
      </w:pPr>
      <w:r>
        <w:rPr>
          <w:b/>
          <w:sz w:val="12"/>
        </w:rPr>
        <w:br w:type="page"/>
      </w:r>
    </w:p>
    <w:p w:rsidR="00E045C6" w:rsidRDefault="00E045C6" w:rsidP="007F23D0">
      <w:pPr>
        <w:pStyle w:val="BodyText"/>
        <w:spacing w:before="2"/>
        <w:ind w:right="40"/>
        <w:rPr>
          <w:b/>
          <w:sz w:val="12"/>
        </w:rPr>
      </w:pPr>
    </w:p>
    <w:p w:rsidR="00E045C6" w:rsidRDefault="00E045C6" w:rsidP="007F23D0">
      <w:pPr>
        <w:pStyle w:val="BodyText"/>
        <w:spacing w:before="9"/>
        <w:ind w:right="40"/>
        <w:rPr>
          <w:b/>
          <w:sz w:val="9"/>
        </w:rPr>
      </w:pPr>
    </w:p>
    <w:p w:rsidR="00E045C6" w:rsidRDefault="006D748E" w:rsidP="001F4E4A">
      <w:pPr>
        <w:pStyle w:val="Heading1"/>
        <w:numPr>
          <w:ilvl w:val="1"/>
          <w:numId w:val="2"/>
        </w:numPr>
        <w:tabs>
          <w:tab w:val="left" w:pos="1134"/>
        </w:tabs>
        <w:spacing w:before="55"/>
        <w:ind w:left="1134" w:right="40" w:hanging="567"/>
        <w:jc w:val="left"/>
      </w:pPr>
      <w:r>
        <w:rPr>
          <w:color w:val="1FAED5"/>
        </w:rPr>
        <w:t xml:space="preserve">General Data Protection </w:t>
      </w:r>
      <w:r w:rsidR="00E768DB">
        <w:rPr>
          <w:color w:val="1FAED5"/>
        </w:rPr>
        <w:t>Regulation</w:t>
      </w:r>
    </w:p>
    <w:p w:rsidR="00E045C6" w:rsidRPr="001F4E4A" w:rsidRDefault="00E045C6" w:rsidP="007F23D0">
      <w:pPr>
        <w:pStyle w:val="BodyText"/>
        <w:spacing w:before="8"/>
        <w:ind w:left="1134" w:right="40" w:hanging="567"/>
        <w:rPr>
          <w:b/>
          <w:sz w:val="24"/>
          <w:szCs w:val="24"/>
        </w:rPr>
      </w:pPr>
    </w:p>
    <w:p w:rsidR="001F4E4A" w:rsidRDefault="001F4E4A" w:rsidP="006D748E">
      <w:pPr>
        <w:pStyle w:val="BodyText"/>
        <w:spacing w:before="1" w:line="276" w:lineRule="auto"/>
        <w:ind w:left="567" w:right="40"/>
        <w:jc w:val="both"/>
        <w:rPr>
          <w:color w:val="222222"/>
          <w:sz w:val="24"/>
          <w:szCs w:val="24"/>
          <w:shd w:val="clear" w:color="auto" w:fill="FFFFFF"/>
        </w:rPr>
      </w:pPr>
    </w:p>
    <w:p w:rsidR="008548C1" w:rsidRDefault="008548C1" w:rsidP="006D748E">
      <w:pPr>
        <w:pStyle w:val="BodyText"/>
        <w:spacing w:before="1" w:line="276" w:lineRule="auto"/>
        <w:ind w:left="567" w:right="40"/>
        <w:jc w:val="both"/>
        <w:rPr>
          <w:color w:val="222222"/>
          <w:sz w:val="24"/>
          <w:szCs w:val="24"/>
          <w:shd w:val="clear" w:color="auto" w:fill="FFFFFF"/>
        </w:rPr>
      </w:pPr>
      <w:r w:rsidRPr="001F4E4A">
        <w:rPr>
          <w:color w:val="222222"/>
          <w:sz w:val="24"/>
          <w:szCs w:val="24"/>
          <w:shd w:val="clear" w:color="auto" w:fill="FFFFFF"/>
        </w:rPr>
        <w:t>The </w:t>
      </w:r>
      <w:r w:rsidRPr="001F4E4A">
        <w:rPr>
          <w:b/>
          <w:bCs/>
          <w:color w:val="222222"/>
          <w:sz w:val="24"/>
          <w:szCs w:val="24"/>
          <w:shd w:val="clear" w:color="auto" w:fill="FFFFFF"/>
        </w:rPr>
        <w:t>General Data Protection Regulation</w:t>
      </w:r>
      <w:r w:rsidRPr="001F4E4A">
        <w:rPr>
          <w:color w:val="222222"/>
          <w:sz w:val="24"/>
          <w:szCs w:val="24"/>
          <w:shd w:val="clear" w:color="auto" w:fill="FFFFFF"/>
        </w:rPr>
        <w:t> (</w:t>
      </w:r>
      <w:r w:rsidRPr="001F4E4A">
        <w:rPr>
          <w:b/>
          <w:bCs/>
          <w:color w:val="222222"/>
          <w:sz w:val="24"/>
          <w:szCs w:val="24"/>
          <w:shd w:val="clear" w:color="auto" w:fill="FFFFFF"/>
        </w:rPr>
        <w:t>GDPR</w:t>
      </w:r>
      <w:r w:rsidRPr="001F4E4A">
        <w:rPr>
          <w:color w:val="222222"/>
          <w:sz w:val="24"/>
          <w:szCs w:val="24"/>
          <w:shd w:val="clear" w:color="auto" w:fill="FFFFFF"/>
        </w:rPr>
        <w:t>) is a regulation intended to strengthen and unify data protection for all individuals within the European Union.</w:t>
      </w:r>
    </w:p>
    <w:p w:rsidR="001F4E4A" w:rsidRPr="001F4E4A" w:rsidRDefault="001F4E4A" w:rsidP="006D748E">
      <w:pPr>
        <w:pStyle w:val="BodyText"/>
        <w:spacing w:before="1" w:line="276" w:lineRule="auto"/>
        <w:ind w:left="567" w:right="40"/>
        <w:jc w:val="both"/>
        <w:rPr>
          <w:color w:val="222222"/>
          <w:sz w:val="24"/>
          <w:szCs w:val="24"/>
          <w:shd w:val="clear" w:color="auto" w:fill="FFFFFF"/>
        </w:rPr>
      </w:pPr>
    </w:p>
    <w:p w:rsidR="008548C1" w:rsidRPr="001F4E4A" w:rsidRDefault="008548C1" w:rsidP="006D748E">
      <w:pPr>
        <w:pStyle w:val="BodyText"/>
        <w:spacing w:before="1" w:line="276" w:lineRule="auto"/>
        <w:ind w:left="567" w:right="40"/>
        <w:jc w:val="both"/>
        <w:rPr>
          <w:color w:val="222222"/>
          <w:sz w:val="24"/>
          <w:szCs w:val="24"/>
          <w:shd w:val="clear" w:color="auto" w:fill="FFFFFF"/>
        </w:rPr>
      </w:pPr>
      <w:r w:rsidRPr="001F4E4A">
        <w:rPr>
          <w:color w:val="222222"/>
          <w:sz w:val="24"/>
          <w:szCs w:val="24"/>
          <w:shd w:val="clear" w:color="auto" w:fill="FFFFFF"/>
        </w:rPr>
        <w:t xml:space="preserve">It will be effective on 25 May 2018 and replaces the data protection act. It is the biggest shake up in generations to data use, privacy and business impact. </w:t>
      </w:r>
      <w:r w:rsidR="000A77F4" w:rsidRPr="001F4E4A">
        <w:rPr>
          <w:color w:val="222222"/>
          <w:sz w:val="24"/>
          <w:szCs w:val="24"/>
          <w:shd w:val="clear" w:color="auto" w:fill="FFFFFF"/>
        </w:rPr>
        <w:t>It covers anyone who is engaged in data use</w:t>
      </w:r>
      <w:r w:rsidR="00BF04DF" w:rsidRPr="001F4E4A">
        <w:rPr>
          <w:color w:val="222222"/>
          <w:sz w:val="24"/>
          <w:szCs w:val="24"/>
          <w:shd w:val="clear" w:color="auto" w:fill="FFFFFF"/>
        </w:rPr>
        <w:t xml:space="preserve"> and storage.</w:t>
      </w:r>
    </w:p>
    <w:p w:rsidR="008548C1" w:rsidRPr="001F4E4A" w:rsidRDefault="008548C1" w:rsidP="006D748E">
      <w:pPr>
        <w:pStyle w:val="BodyText"/>
        <w:spacing w:before="1" w:line="276" w:lineRule="auto"/>
        <w:ind w:left="567" w:right="40"/>
        <w:jc w:val="both"/>
        <w:rPr>
          <w:sz w:val="24"/>
          <w:szCs w:val="24"/>
        </w:rPr>
      </w:pPr>
    </w:p>
    <w:p w:rsidR="00E43354" w:rsidRPr="001F4E4A" w:rsidRDefault="006D748E" w:rsidP="006D748E">
      <w:pPr>
        <w:pStyle w:val="BodyText"/>
        <w:spacing w:before="1" w:line="276" w:lineRule="auto"/>
        <w:ind w:left="567" w:right="40"/>
        <w:jc w:val="both"/>
        <w:rPr>
          <w:sz w:val="24"/>
          <w:szCs w:val="24"/>
        </w:rPr>
      </w:pPr>
      <w:r w:rsidRPr="001F4E4A">
        <w:rPr>
          <w:sz w:val="24"/>
          <w:szCs w:val="24"/>
        </w:rPr>
        <w:t xml:space="preserve">Small </w:t>
      </w:r>
      <w:proofErr w:type="spellStart"/>
      <w:proofErr w:type="gramStart"/>
      <w:r w:rsidRPr="001F4E4A">
        <w:rPr>
          <w:sz w:val="24"/>
          <w:szCs w:val="24"/>
        </w:rPr>
        <w:t>self administered</w:t>
      </w:r>
      <w:proofErr w:type="spellEnd"/>
      <w:proofErr w:type="gramEnd"/>
      <w:r w:rsidRPr="001F4E4A">
        <w:rPr>
          <w:sz w:val="24"/>
          <w:szCs w:val="24"/>
        </w:rPr>
        <w:t xml:space="preserve"> schemes have a unique relationship in that</w:t>
      </w:r>
      <w:r w:rsidR="001F4E4A">
        <w:rPr>
          <w:sz w:val="24"/>
          <w:szCs w:val="24"/>
        </w:rPr>
        <w:t xml:space="preserve"> here</w:t>
      </w:r>
      <w:r w:rsidRPr="001F4E4A">
        <w:rPr>
          <w:sz w:val="24"/>
          <w:szCs w:val="24"/>
        </w:rPr>
        <w:t xml:space="preserve"> the members and trustees are </w:t>
      </w:r>
      <w:r w:rsidR="001F4E4A" w:rsidRPr="001F4E4A">
        <w:rPr>
          <w:sz w:val="24"/>
          <w:szCs w:val="24"/>
        </w:rPr>
        <w:t xml:space="preserve">husband and wife. </w:t>
      </w:r>
      <w:r w:rsidR="00BF04DF" w:rsidRPr="001F4E4A">
        <w:rPr>
          <w:sz w:val="24"/>
          <w:szCs w:val="24"/>
        </w:rPr>
        <w:t xml:space="preserve">Your scheme will </w:t>
      </w:r>
      <w:r w:rsidR="001F4E4A" w:rsidRPr="001F4E4A">
        <w:rPr>
          <w:sz w:val="24"/>
          <w:szCs w:val="24"/>
        </w:rPr>
        <w:t xml:space="preserve">not therefore </w:t>
      </w:r>
      <w:r w:rsidR="00BF04DF" w:rsidRPr="001F4E4A">
        <w:rPr>
          <w:sz w:val="24"/>
          <w:szCs w:val="24"/>
        </w:rPr>
        <w:t>be affected by GDPR</w:t>
      </w:r>
      <w:r w:rsidR="001F4E4A" w:rsidRPr="001F4E4A">
        <w:rPr>
          <w:sz w:val="24"/>
          <w:szCs w:val="24"/>
        </w:rPr>
        <w:t xml:space="preserve"> as it is not intended to capture this type or position</w:t>
      </w:r>
      <w:r w:rsidR="001F4E4A">
        <w:rPr>
          <w:sz w:val="24"/>
          <w:szCs w:val="24"/>
        </w:rPr>
        <w:t xml:space="preserve">, however we will need to notify the ICO of this. </w:t>
      </w:r>
    </w:p>
    <w:p w:rsidR="00B20A31" w:rsidRPr="001F4E4A" w:rsidRDefault="00B20A31" w:rsidP="006D748E">
      <w:pPr>
        <w:pStyle w:val="BodyText"/>
        <w:spacing w:before="1" w:line="276" w:lineRule="auto"/>
        <w:ind w:left="567" w:right="40"/>
        <w:jc w:val="both"/>
        <w:rPr>
          <w:sz w:val="24"/>
          <w:szCs w:val="24"/>
        </w:rPr>
      </w:pPr>
    </w:p>
    <w:p w:rsidR="00B20A31" w:rsidRPr="001F4E4A" w:rsidRDefault="00B20A31" w:rsidP="006D748E">
      <w:pPr>
        <w:pStyle w:val="BodyText"/>
        <w:spacing w:before="1" w:line="276" w:lineRule="auto"/>
        <w:ind w:left="567" w:right="40"/>
        <w:jc w:val="both"/>
        <w:rPr>
          <w:sz w:val="24"/>
          <w:szCs w:val="24"/>
        </w:rPr>
      </w:pPr>
      <w:r w:rsidRPr="001F4E4A">
        <w:rPr>
          <w:sz w:val="24"/>
          <w:szCs w:val="24"/>
        </w:rPr>
        <w:t xml:space="preserve">Our newsletter, which is enclosed fully explains how </w:t>
      </w:r>
      <w:r w:rsidR="00BF04DF" w:rsidRPr="001F4E4A">
        <w:rPr>
          <w:sz w:val="24"/>
          <w:szCs w:val="24"/>
        </w:rPr>
        <w:t>GDPR</w:t>
      </w:r>
      <w:r w:rsidRPr="001F4E4A">
        <w:rPr>
          <w:sz w:val="24"/>
          <w:szCs w:val="24"/>
        </w:rPr>
        <w:t xml:space="preserve"> </w:t>
      </w:r>
      <w:r w:rsidR="001F4E4A" w:rsidRPr="001F4E4A">
        <w:rPr>
          <w:sz w:val="24"/>
          <w:szCs w:val="24"/>
        </w:rPr>
        <w:t>work</w:t>
      </w:r>
      <w:r w:rsidRPr="001F4E4A">
        <w:rPr>
          <w:sz w:val="24"/>
          <w:szCs w:val="24"/>
        </w:rPr>
        <w:t xml:space="preserve">s. The new GDPR rules come into effect from May this year and </w:t>
      </w:r>
      <w:r w:rsidR="001F4E4A" w:rsidRPr="001F4E4A">
        <w:rPr>
          <w:sz w:val="24"/>
          <w:szCs w:val="24"/>
        </w:rPr>
        <w:t xml:space="preserve">if you think you might be affected, please let Gavin or Emily know and we will advise accordingly. </w:t>
      </w:r>
    </w:p>
    <w:p w:rsidR="008548C1" w:rsidRDefault="008548C1" w:rsidP="008548C1">
      <w:pPr>
        <w:pStyle w:val="BodyText"/>
        <w:spacing w:before="1" w:line="276" w:lineRule="auto"/>
        <w:ind w:left="567" w:right="40"/>
        <w:jc w:val="both"/>
        <w:rPr>
          <w:sz w:val="24"/>
          <w:szCs w:val="24"/>
        </w:rPr>
      </w:pPr>
    </w:p>
    <w:p w:rsidR="008548C1" w:rsidRDefault="008548C1" w:rsidP="006D748E">
      <w:pPr>
        <w:pStyle w:val="BodyText"/>
        <w:spacing w:before="1" w:line="276" w:lineRule="auto"/>
        <w:ind w:left="567" w:right="40"/>
        <w:jc w:val="both"/>
        <w:rPr>
          <w:sz w:val="24"/>
          <w:szCs w:val="24"/>
        </w:rPr>
      </w:pPr>
    </w:p>
    <w:p w:rsidR="00B20A31" w:rsidRDefault="00B20A31">
      <w:pPr>
        <w:rPr>
          <w:sz w:val="24"/>
          <w:szCs w:val="24"/>
        </w:rPr>
      </w:pPr>
      <w:r>
        <w:rPr>
          <w:sz w:val="24"/>
          <w:szCs w:val="24"/>
        </w:rPr>
        <w:br w:type="page"/>
      </w:r>
    </w:p>
    <w:p w:rsidR="00E045C6" w:rsidRDefault="007F1EA4" w:rsidP="001F4E4A">
      <w:pPr>
        <w:pStyle w:val="Heading1"/>
        <w:numPr>
          <w:ilvl w:val="1"/>
          <w:numId w:val="2"/>
        </w:numPr>
        <w:tabs>
          <w:tab w:val="left" w:pos="1600"/>
          <w:tab w:val="left" w:pos="1601"/>
        </w:tabs>
        <w:spacing w:before="222"/>
        <w:ind w:right="40" w:hanging="1033"/>
        <w:jc w:val="left"/>
      </w:pPr>
      <w:r>
        <w:rPr>
          <w:color w:val="1FAED5"/>
        </w:rPr>
        <w:lastRenderedPageBreak/>
        <w:t xml:space="preserve">New </w:t>
      </w:r>
      <w:r w:rsidR="00C014AC">
        <w:rPr>
          <w:color w:val="1FAED5"/>
        </w:rPr>
        <w:t>Independent Trustee Service</w:t>
      </w:r>
    </w:p>
    <w:p w:rsidR="00C014AC" w:rsidRDefault="00C014AC" w:rsidP="007F23D0">
      <w:pPr>
        <w:pStyle w:val="BodyText"/>
        <w:spacing w:line="276" w:lineRule="auto"/>
        <w:ind w:left="1542" w:right="40"/>
        <w:jc w:val="both"/>
      </w:pPr>
    </w:p>
    <w:p w:rsidR="007F23D0" w:rsidRDefault="00C014AC" w:rsidP="007F23D0">
      <w:pPr>
        <w:ind w:left="567" w:right="40"/>
        <w:jc w:val="both"/>
        <w:rPr>
          <w:sz w:val="24"/>
          <w:szCs w:val="24"/>
        </w:rPr>
      </w:pPr>
      <w:r w:rsidRPr="007669E5">
        <w:rPr>
          <w:sz w:val="24"/>
          <w:szCs w:val="24"/>
        </w:rPr>
        <w:t xml:space="preserve">Historically, small </w:t>
      </w:r>
      <w:proofErr w:type="spellStart"/>
      <w:proofErr w:type="gramStart"/>
      <w:r w:rsidRPr="007669E5">
        <w:rPr>
          <w:sz w:val="24"/>
          <w:szCs w:val="24"/>
        </w:rPr>
        <w:t>self administered</w:t>
      </w:r>
      <w:proofErr w:type="spellEnd"/>
      <w:proofErr w:type="gramEnd"/>
      <w:r w:rsidRPr="007669E5">
        <w:rPr>
          <w:sz w:val="24"/>
          <w:szCs w:val="24"/>
        </w:rPr>
        <w:t xml:space="preserve"> schemes had a legal requirement for an independent trustee that acted as an oversight on behalf of HM Revenue and Customs to ensure that there was no improper termination of the trust.</w:t>
      </w:r>
    </w:p>
    <w:p w:rsidR="00C014AC" w:rsidRPr="007669E5" w:rsidRDefault="007F23D0" w:rsidP="007F23D0">
      <w:pPr>
        <w:ind w:left="567" w:right="40"/>
        <w:jc w:val="both"/>
        <w:rPr>
          <w:sz w:val="24"/>
          <w:szCs w:val="24"/>
        </w:rPr>
      </w:pPr>
      <w:r>
        <w:rPr>
          <w:sz w:val="24"/>
          <w:szCs w:val="24"/>
        </w:rPr>
        <w:t xml:space="preserve">           </w:t>
      </w:r>
    </w:p>
    <w:p w:rsidR="00C014AC" w:rsidRPr="007669E5" w:rsidRDefault="00C014AC" w:rsidP="007F23D0">
      <w:pPr>
        <w:ind w:left="567" w:right="40"/>
        <w:jc w:val="both"/>
        <w:rPr>
          <w:sz w:val="24"/>
          <w:szCs w:val="24"/>
        </w:rPr>
      </w:pPr>
      <w:r w:rsidRPr="007669E5">
        <w:rPr>
          <w:sz w:val="24"/>
          <w:szCs w:val="24"/>
        </w:rPr>
        <w:t>Since 2006, this was no longer a legal requirement but recent changes to the rules surrounding pensions may</w:t>
      </w:r>
      <w:r>
        <w:rPr>
          <w:sz w:val="24"/>
          <w:szCs w:val="24"/>
        </w:rPr>
        <w:t>be</w:t>
      </w:r>
      <w:r w:rsidRPr="007669E5">
        <w:rPr>
          <w:sz w:val="24"/>
          <w:szCs w:val="24"/>
        </w:rPr>
        <w:t xml:space="preserve"> useful for your scheme.</w:t>
      </w:r>
    </w:p>
    <w:p w:rsidR="00C014AC" w:rsidRPr="007669E5" w:rsidRDefault="000C17B8" w:rsidP="007F23D0">
      <w:pPr>
        <w:ind w:left="567" w:right="40"/>
        <w:jc w:val="both"/>
        <w:rPr>
          <w:sz w:val="24"/>
          <w:szCs w:val="24"/>
        </w:rPr>
      </w:pPr>
      <w:r>
        <w:rPr>
          <w:sz w:val="24"/>
          <w:szCs w:val="24"/>
        </w:rPr>
        <w:br/>
      </w:r>
      <w:r w:rsidR="00C014AC" w:rsidRPr="007669E5">
        <w:rPr>
          <w:sz w:val="24"/>
          <w:szCs w:val="24"/>
        </w:rPr>
        <w:t xml:space="preserve">We </w:t>
      </w:r>
      <w:r w:rsidR="00DC2693">
        <w:rPr>
          <w:sz w:val="24"/>
          <w:szCs w:val="24"/>
        </w:rPr>
        <w:t xml:space="preserve">can </w:t>
      </w:r>
      <w:r w:rsidR="00C014AC" w:rsidRPr="007669E5">
        <w:rPr>
          <w:sz w:val="24"/>
          <w:szCs w:val="24"/>
        </w:rPr>
        <w:t>offer an independent trustee service via our trustee company and have structured this to give clients full flexibility on the remit needed.</w:t>
      </w:r>
      <w:r w:rsidR="006D748E">
        <w:rPr>
          <w:sz w:val="24"/>
          <w:szCs w:val="24"/>
        </w:rPr>
        <w:t xml:space="preserve"> It is designed around protection to ensure that in the event of the demise or serious ill-health the distribution of benefits </w:t>
      </w:r>
      <w:proofErr w:type="gramStart"/>
      <w:r w:rsidR="006D748E">
        <w:rPr>
          <w:sz w:val="24"/>
          <w:szCs w:val="24"/>
        </w:rPr>
        <w:t>are</w:t>
      </w:r>
      <w:proofErr w:type="gramEnd"/>
      <w:r w:rsidR="006D748E">
        <w:rPr>
          <w:sz w:val="24"/>
          <w:szCs w:val="24"/>
        </w:rPr>
        <w:t xml:space="preserve"> in accordance with your wishes, impartially and with understanding of the rules that underpin pension schemes. </w:t>
      </w:r>
    </w:p>
    <w:p w:rsidR="00C014AC" w:rsidRDefault="000C17B8" w:rsidP="007F23D0">
      <w:pPr>
        <w:ind w:left="567" w:right="40"/>
        <w:jc w:val="both"/>
        <w:rPr>
          <w:b/>
          <w:sz w:val="24"/>
          <w:szCs w:val="24"/>
        </w:rPr>
      </w:pPr>
      <w:r>
        <w:rPr>
          <w:b/>
          <w:sz w:val="24"/>
          <w:szCs w:val="24"/>
        </w:rPr>
        <w:br/>
      </w:r>
      <w:r w:rsidR="00C014AC" w:rsidRPr="007669E5">
        <w:rPr>
          <w:b/>
          <w:sz w:val="24"/>
          <w:szCs w:val="24"/>
        </w:rPr>
        <w:t>Controlling Investments</w:t>
      </w:r>
    </w:p>
    <w:p w:rsidR="00DC2693" w:rsidRPr="007669E5" w:rsidRDefault="00DC2693" w:rsidP="007F23D0">
      <w:pPr>
        <w:ind w:left="567" w:right="40"/>
        <w:jc w:val="both"/>
        <w:rPr>
          <w:b/>
          <w:sz w:val="24"/>
          <w:szCs w:val="24"/>
        </w:rPr>
      </w:pPr>
    </w:p>
    <w:p w:rsidR="00DC2693" w:rsidRDefault="00C014AC" w:rsidP="007F23D0">
      <w:pPr>
        <w:ind w:left="567" w:right="40"/>
        <w:jc w:val="both"/>
        <w:rPr>
          <w:sz w:val="24"/>
          <w:szCs w:val="24"/>
        </w:rPr>
      </w:pPr>
      <w:r w:rsidRPr="007669E5">
        <w:rPr>
          <w:sz w:val="24"/>
          <w:szCs w:val="24"/>
        </w:rPr>
        <w:t xml:space="preserve">Our independent trustee company signs a delegation letter, whereby the power of investing remains in the hands of the clients as trustees of their own funds. </w:t>
      </w:r>
    </w:p>
    <w:p w:rsidR="00DC2693" w:rsidRDefault="00DC2693"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This way, we are not party to investment decisions and investment choices made by clients. However, if you require our independent trustee to be party to investment decision making, this can be facilitated on a case by case basis.</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Pr>
          <w:b/>
          <w:sz w:val="24"/>
          <w:szCs w:val="24"/>
        </w:rPr>
        <w:t>I</w:t>
      </w:r>
      <w:r w:rsidRPr="007669E5">
        <w:rPr>
          <w:b/>
          <w:sz w:val="24"/>
          <w:szCs w:val="24"/>
        </w:rPr>
        <w:t>ll-health benefits</w:t>
      </w:r>
    </w:p>
    <w:p w:rsidR="001F4E4A" w:rsidRPr="007669E5" w:rsidRDefault="001F4E4A" w:rsidP="007F23D0">
      <w:pPr>
        <w:ind w:left="567" w:right="40"/>
        <w:jc w:val="both"/>
        <w:rPr>
          <w:b/>
          <w:sz w:val="24"/>
          <w:szCs w:val="24"/>
        </w:rPr>
      </w:pPr>
    </w:p>
    <w:p w:rsidR="00C014AC" w:rsidRDefault="00C014AC" w:rsidP="007F23D0">
      <w:pPr>
        <w:ind w:left="567" w:right="40"/>
        <w:jc w:val="both"/>
        <w:rPr>
          <w:sz w:val="24"/>
          <w:szCs w:val="24"/>
        </w:rPr>
      </w:pPr>
      <w:r w:rsidRPr="007669E5">
        <w:rPr>
          <w:sz w:val="24"/>
          <w:szCs w:val="24"/>
        </w:rPr>
        <w:t xml:space="preserve">This is perhaps where most of the need arises. Small </w:t>
      </w:r>
      <w:proofErr w:type="spellStart"/>
      <w:proofErr w:type="gramStart"/>
      <w:r w:rsidRPr="007669E5">
        <w:rPr>
          <w:sz w:val="24"/>
          <w:szCs w:val="24"/>
        </w:rPr>
        <w:t>self administered</w:t>
      </w:r>
      <w:proofErr w:type="spellEnd"/>
      <w:proofErr w:type="gramEnd"/>
      <w:r w:rsidRPr="007669E5">
        <w:rPr>
          <w:sz w:val="24"/>
          <w:szCs w:val="24"/>
        </w:rPr>
        <w:t xml:space="preserve"> schemes have benefit</w:t>
      </w:r>
      <w:r>
        <w:rPr>
          <w:sz w:val="24"/>
          <w:szCs w:val="24"/>
        </w:rPr>
        <w:t>ed</w:t>
      </w:r>
      <w:r w:rsidRPr="007669E5">
        <w:rPr>
          <w:sz w:val="24"/>
          <w:szCs w:val="24"/>
        </w:rPr>
        <w:t xml:space="preserve"> significantly from the increased flexibility of distribution of funds either on death or serious ill-health.</w:t>
      </w:r>
    </w:p>
    <w:p w:rsidR="00C014AC" w:rsidRPr="007669E5" w:rsidRDefault="00C014AC" w:rsidP="007F23D0">
      <w:pPr>
        <w:ind w:left="567" w:right="40"/>
        <w:jc w:val="both"/>
        <w:rPr>
          <w:sz w:val="24"/>
          <w:szCs w:val="24"/>
        </w:rPr>
      </w:pPr>
    </w:p>
    <w:p w:rsidR="00C014AC" w:rsidRDefault="00C014AC" w:rsidP="007F23D0">
      <w:pPr>
        <w:ind w:left="567" w:right="40"/>
        <w:jc w:val="both"/>
        <w:rPr>
          <w:color w:val="222222"/>
          <w:sz w:val="24"/>
          <w:szCs w:val="24"/>
          <w:shd w:val="clear" w:color="auto" w:fill="FFFFFF"/>
        </w:rPr>
      </w:pPr>
      <w:r w:rsidRPr="007669E5">
        <w:rPr>
          <w:color w:val="222222"/>
          <w:sz w:val="24"/>
          <w:szCs w:val="24"/>
          <w:shd w:val="clear" w:color="auto" w:fill="FFFFFF"/>
        </w:rPr>
        <w:t>The risk of developing cancer for all invasive cancer sites is </w:t>
      </w:r>
      <w:r w:rsidRPr="005109F5">
        <w:rPr>
          <w:bCs/>
          <w:color w:val="222222"/>
          <w:sz w:val="24"/>
          <w:szCs w:val="24"/>
          <w:shd w:val="clear" w:color="auto" w:fill="FFFFFF"/>
        </w:rPr>
        <w:t>one in two</w:t>
      </w:r>
      <w:r w:rsidRPr="005109F5">
        <w:rPr>
          <w:color w:val="222222"/>
          <w:sz w:val="24"/>
          <w:szCs w:val="24"/>
          <w:shd w:val="clear" w:color="auto" w:fill="FFFFFF"/>
        </w:rPr>
        <w:t> for males and </w:t>
      </w:r>
      <w:r w:rsidRPr="005109F5">
        <w:rPr>
          <w:bCs/>
          <w:color w:val="222222"/>
          <w:sz w:val="24"/>
          <w:szCs w:val="24"/>
          <w:shd w:val="clear" w:color="auto" w:fill="FFFFFF"/>
        </w:rPr>
        <w:t>one in three</w:t>
      </w:r>
      <w:r w:rsidRPr="005109F5">
        <w:rPr>
          <w:color w:val="222222"/>
          <w:sz w:val="24"/>
          <w:szCs w:val="24"/>
          <w:shd w:val="clear" w:color="auto" w:fill="FFFFFF"/>
        </w:rPr>
        <w:t> for females</w:t>
      </w:r>
      <w:r w:rsidR="006D748E">
        <w:rPr>
          <w:color w:val="222222"/>
          <w:sz w:val="24"/>
          <w:szCs w:val="24"/>
          <w:shd w:val="clear" w:color="auto" w:fill="FFFFFF"/>
        </w:rPr>
        <w:t xml:space="preserve"> in the western world</w:t>
      </w:r>
      <w:r w:rsidRPr="005109F5">
        <w:rPr>
          <w:color w:val="222222"/>
          <w:sz w:val="24"/>
          <w:szCs w:val="24"/>
          <w:shd w:val="clear" w:color="auto" w:fill="FFFFFF"/>
        </w:rPr>
        <w:t>. This is a lifechanging condition and depending on the condition and type</w:t>
      </w:r>
      <w:r w:rsidR="006D748E">
        <w:rPr>
          <w:color w:val="222222"/>
          <w:sz w:val="24"/>
          <w:szCs w:val="24"/>
          <w:shd w:val="clear" w:color="auto" w:fill="FFFFFF"/>
        </w:rPr>
        <w:t>,</w:t>
      </w:r>
      <w:r w:rsidRPr="005109F5">
        <w:rPr>
          <w:color w:val="222222"/>
          <w:sz w:val="24"/>
          <w:szCs w:val="24"/>
          <w:shd w:val="clear" w:color="auto" w:fill="FFFFFF"/>
        </w:rPr>
        <w:t xml:space="preserve"> </w:t>
      </w:r>
      <w:r>
        <w:rPr>
          <w:color w:val="222222"/>
          <w:sz w:val="24"/>
          <w:szCs w:val="24"/>
          <w:shd w:val="clear" w:color="auto" w:fill="FFFFFF"/>
        </w:rPr>
        <w:t xml:space="preserve">your SSAS can be distributed to meet medical and income replacement requirements. </w:t>
      </w:r>
    </w:p>
    <w:p w:rsidR="000C17B8" w:rsidRDefault="000C17B8" w:rsidP="007F23D0">
      <w:pPr>
        <w:ind w:left="567" w:right="40"/>
        <w:jc w:val="both"/>
        <w:rPr>
          <w:color w:val="222222"/>
          <w:sz w:val="24"/>
          <w:szCs w:val="24"/>
          <w:shd w:val="clear" w:color="auto" w:fill="FFFFFF"/>
        </w:rPr>
      </w:pPr>
    </w:p>
    <w:p w:rsidR="00C014AC" w:rsidRDefault="00C014AC" w:rsidP="007F23D0">
      <w:pPr>
        <w:ind w:left="567" w:right="40"/>
        <w:jc w:val="both"/>
        <w:rPr>
          <w:color w:val="222222"/>
          <w:sz w:val="24"/>
          <w:szCs w:val="24"/>
          <w:shd w:val="clear" w:color="auto" w:fill="FFFFFF"/>
        </w:rPr>
      </w:pPr>
      <w:r>
        <w:rPr>
          <w:color w:val="222222"/>
          <w:sz w:val="24"/>
          <w:szCs w:val="24"/>
          <w:shd w:val="clear" w:color="auto" w:fill="FFFFFF"/>
        </w:rPr>
        <w:t xml:space="preserve">The emotional strain on families and the affected person is significant – having an independent trustee to take on the responsibility of benefit distribution ensure that this is undertaken with integrity and consideration. </w:t>
      </w:r>
    </w:p>
    <w:p w:rsidR="00C014AC" w:rsidRDefault="00C014AC" w:rsidP="007F23D0">
      <w:pPr>
        <w:ind w:left="567" w:right="40"/>
        <w:jc w:val="both"/>
        <w:rPr>
          <w:color w:val="222222"/>
          <w:sz w:val="24"/>
          <w:szCs w:val="24"/>
          <w:shd w:val="clear" w:color="auto" w:fill="FFFFFF"/>
        </w:rPr>
      </w:pPr>
    </w:p>
    <w:p w:rsidR="00C014AC" w:rsidRDefault="00C014AC" w:rsidP="007F23D0">
      <w:pPr>
        <w:ind w:left="567" w:right="40"/>
        <w:jc w:val="both"/>
        <w:rPr>
          <w:b/>
          <w:sz w:val="24"/>
          <w:szCs w:val="24"/>
        </w:rPr>
      </w:pPr>
      <w:r>
        <w:rPr>
          <w:b/>
          <w:sz w:val="24"/>
          <w:szCs w:val="24"/>
        </w:rPr>
        <w:t>Death</w:t>
      </w:r>
      <w:r w:rsidRPr="007669E5">
        <w:rPr>
          <w:b/>
          <w:sz w:val="24"/>
          <w:szCs w:val="24"/>
        </w:rPr>
        <w:t xml:space="preserve"> benefits</w:t>
      </w:r>
    </w:p>
    <w:p w:rsidR="000C17B8" w:rsidRDefault="000C17B8" w:rsidP="007F23D0">
      <w:pPr>
        <w:ind w:left="567" w:right="40"/>
        <w:jc w:val="both"/>
        <w:rPr>
          <w:b/>
          <w:sz w:val="24"/>
          <w:szCs w:val="24"/>
        </w:rPr>
      </w:pPr>
    </w:p>
    <w:p w:rsidR="00C014AC" w:rsidRDefault="00C014AC" w:rsidP="007F23D0">
      <w:pPr>
        <w:ind w:left="567" w:right="40"/>
        <w:jc w:val="both"/>
        <w:rPr>
          <w:sz w:val="24"/>
          <w:szCs w:val="24"/>
        </w:rPr>
      </w:pPr>
      <w:r>
        <w:rPr>
          <w:sz w:val="24"/>
          <w:szCs w:val="24"/>
        </w:rPr>
        <w:t xml:space="preserve">In the absence of a surviving trustee, your beneficiaries are required to go </w:t>
      </w:r>
      <w:r>
        <w:rPr>
          <w:sz w:val="24"/>
          <w:szCs w:val="24"/>
        </w:rPr>
        <w:lastRenderedPageBreak/>
        <w:t>to court for a trustee to be appointed which can be a very expensive and time</w:t>
      </w:r>
      <w:r w:rsidR="006D748E">
        <w:rPr>
          <w:sz w:val="24"/>
          <w:szCs w:val="24"/>
        </w:rPr>
        <w:t>-</w:t>
      </w:r>
      <w:r>
        <w:rPr>
          <w:sz w:val="24"/>
          <w:szCs w:val="24"/>
        </w:rPr>
        <w:t xml:space="preserve">consuming process. </w:t>
      </w:r>
    </w:p>
    <w:p w:rsidR="006D748E" w:rsidRPr="00B41393" w:rsidRDefault="006D748E" w:rsidP="007F23D0">
      <w:pPr>
        <w:ind w:left="567" w:right="40"/>
        <w:jc w:val="both"/>
        <w:rPr>
          <w:sz w:val="24"/>
          <w:szCs w:val="24"/>
        </w:rPr>
      </w:pPr>
    </w:p>
    <w:p w:rsidR="00C014AC" w:rsidRDefault="00C014AC" w:rsidP="007F23D0">
      <w:pPr>
        <w:ind w:left="567" w:right="40"/>
        <w:jc w:val="both"/>
        <w:rPr>
          <w:sz w:val="24"/>
          <w:szCs w:val="24"/>
        </w:rPr>
      </w:pPr>
      <w:r w:rsidRPr="00B41393">
        <w:rPr>
          <w:sz w:val="24"/>
          <w:szCs w:val="24"/>
        </w:rPr>
        <w:t>Children can be admitted to the pension scheme to benefit funds to be distributed at key anniversary dates</w:t>
      </w:r>
      <w:r>
        <w:rPr>
          <w:sz w:val="24"/>
          <w:szCs w:val="24"/>
        </w:rPr>
        <w:t xml:space="preserve">. You can also </w:t>
      </w:r>
      <w:r w:rsidRPr="00B41393">
        <w:rPr>
          <w:sz w:val="24"/>
          <w:szCs w:val="24"/>
        </w:rPr>
        <w:t xml:space="preserve">arrange for </w:t>
      </w:r>
      <w:r>
        <w:rPr>
          <w:sz w:val="24"/>
          <w:szCs w:val="24"/>
        </w:rPr>
        <w:t>your family</w:t>
      </w:r>
      <w:r w:rsidRPr="00B41393">
        <w:rPr>
          <w:sz w:val="24"/>
          <w:szCs w:val="24"/>
        </w:rPr>
        <w:t xml:space="preserve"> to </w:t>
      </w:r>
      <w:r>
        <w:rPr>
          <w:sz w:val="24"/>
          <w:szCs w:val="24"/>
        </w:rPr>
        <w:t xml:space="preserve">inherit </w:t>
      </w:r>
      <w:r w:rsidRPr="00B41393">
        <w:rPr>
          <w:sz w:val="24"/>
          <w:szCs w:val="24"/>
        </w:rPr>
        <w:t xml:space="preserve">the fund allowing the scheme to become a family trust. </w:t>
      </w:r>
      <w:r w:rsidR="000C17B8">
        <w:rPr>
          <w:sz w:val="24"/>
          <w:szCs w:val="24"/>
        </w:rPr>
        <w:br/>
      </w:r>
    </w:p>
    <w:p w:rsidR="00C014AC" w:rsidRDefault="00C014AC" w:rsidP="007F23D0">
      <w:pPr>
        <w:ind w:left="567" w:right="40"/>
        <w:jc w:val="both"/>
        <w:rPr>
          <w:sz w:val="24"/>
          <w:szCs w:val="24"/>
        </w:rPr>
      </w:pPr>
      <w:r w:rsidRPr="00B41393">
        <w:rPr>
          <w:sz w:val="24"/>
          <w:szCs w:val="24"/>
        </w:rPr>
        <w:t xml:space="preserve">An independent trustee can ensure that </w:t>
      </w:r>
      <w:r>
        <w:rPr>
          <w:sz w:val="24"/>
          <w:szCs w:val="24"/>
        </w:rPr>
        <w:t xml:space="preserve">both the need for a court appointed trustee is avoided and your instructions are passed down and enacted by the independent trustee to avoid any family dispute that can often arise with family members as appointed trustees. </w:t>
      </w:r>
    </w:p>
    <w:p w:rsidR="006D748E" w:rsidRDefault="006D748E" w:rsidP="007F23D0">
      <w:pPr>
        <w:ind w:left="567" w:right="40"/>
        <w:jc w:val="both"/>
        <w:rPr>
          <w:sz w:val="24"/>
          <w:szCs w:val="24"/>
        </w:rPr>
      </w:pPr>
    </w:p>
    <w:p w:rsidR="00C014AC" w:rsidRDefault="00C014AC" w:rsidP="007F23D0">
      <w:pPr>
        <w:pStyle w:val="BodyText"/>
        <w:spacing w:line="276" w:lineRule="auto"/>
        <w:ind w:left="567" w:right="40"/>
        <w:jc w:val="both"/>
      </w:pPr>
    </w:p>
    <w:p w:rsidR="00E045C6" w:rsidRDefault="00E045C6"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1F4E4A" w:rsidRDefault="001F4E4A"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Pr="00BF04DF" w:rsidRDefault="00BF04DF" w:rsidP="001F4E4A">
      <w:pPr>
        <w:pStyle w:val="Heading1"/>
        <w:numPr>
          <w:ilvl w:val="1"/>
          <w:numId w:val="2"/>
        </w:numPr>
        <w:tabs>
          <w:tab w:val="left" w:pos="1600"/>
          <w:tab w:val="left" w:pos="1601"/>
        </w:tabs>
        <w:spacing w:before="222"/>
        <w:ind w:right="40" w:hanging="1033"/>
        <w:jc w:val="left"/>
      </w:pPr>
      <w:r>
        <w:rPr>
          <w:color w:val="1FAED5"/>
        </w:rPr>
        <w:lastRenderedPageBreak/>
        <w:t>2018 Action Plan</w:t>
      </w:r>
    </w:p>
    <w:p w:rsidR="001F4E4A" w:rsidRDefault="001F4E4A" w:rsidP="00BF04DF">
      <w:pPr>
        <w:pStyle w:val="Heading1"/>
        <w:tabs>
          <w:tab w:val="left" w:pos="1600"/>
          <w:tab w:val="left" w:pos="1601"/>
        </w:tabs>
        <w:spacing w:before="222"/>
        <w:ind w:left="567" w:right="40" w:firstLine="0"/>
        <w:rPr>
          <w:b w:val="0"/>
          <w:sz w:val="24"/>
          <w:szCs w:val="24"/>
        </w:rPr>
      </w:pPr>
    </w:p>
    <w:p w:rsidR="00BF04DF" w:rsidRDefault="00BF04DF" w:rsidP="00BF04DF">
      <w:pPr>
        <w:pStyle w:val="Heading1"/>
        <w:tabs>
          <w:tab w:val="left" w:pos="1600"/>
          <w:tab w:val="left" w:pos="1601"/>
        </w:tabs>
        <w:spacing w:before="222"/>
        <w:ind w:left="567" w:right="40" w:firstLine="0"/>
        <w:rPr>
          <w:b w:val="0"/>
          <w:sz w:val="24"/>
          <w:szCs w:val="24"/>
        </w:rPr>
      </w:pPr>
      <w:r w:rsidRPr="00BF04DF">
        <w:rPr>
          <w:b w:val="0"/>
          <w:sz w:val="24"/>
          <w:szCs w:val="24"/>
        </w:rPr>
        <w:t>I propose the following action plan in 2018</w:t>
      </w:r>
      <w:r>
        <w:rPr>
          <w:b w:val="0"/>
          <w:sz w:val="24"/>
          <w:szCs w:val="24"/>
        </w:rPr>
        <w:t>.</w:t>
      </w:r>
    </w:p>
    <w:p w:rsidR="001F4E4A" w:rsidRDefault="00460469" w:rsidP="0022065D">
      <w:pPr>
        <w:pStyle w:val="Heading1"/>
        <w:numPr>
          <w:ilvl w:val="0"/>
          <w:numId w:val="13"/>
        </w:numPr>
        <w:tabs>
          <w:tab w:val="left" w:pos="1600"/>
          <w:tab w:val="left" w:pos="1601"/>
        </w:tabs>
        <w:spacing w:before="222"/>
        <w:ind w:left="1134" w:right="40" w:hanging="567"/>
        <w:rPr>
          <w:b w:val="0"/>
          <w:sz w:val="25"/>
        </w:rPr>
      </w:pPr>
      <w:r w:rsidRPr="001F4E4A">
        <w:rPr>
          <w:b w:val="0"/>
          <w:sz w:val="25"/>
        </w:rPr>
        <w:t>Update the nomination of beneficiaries for the scheme reflecting the changes to the tax rules concerning death benefit</w:t>
      </w:r>
      <w:r w:rsidR="001F4E4A" w:rsidRPr="001F4E4A">
        <w:rPr>
          <w:b w:val="0"/>
          <w:sz w:val="25"/>
        </w:rPr>
        <w:t>s.</w:t>
      </w:r>
      <w:r w:rsidRPr="001F4E4A">
        <w:rPr>
          <w:b w:val="0"/>
          <w:sz w:val="25"/>
        </w:rPr>
        <w:t xml:space="preserve"> </w:t>
      </w:r>
    </w:p>
    <w:p w:rsidR="00460469" w:rsidRDefault="00460469" w:rsidP="0022065D">
      <w:pPr>
        <w:pStyle w:val="Heading1"/>
        <w:numPr>
          <w:ilvl w:val="0"/>
          <w:numId w:val="13"/>
        </w:numPr>
        <w:tabs>
          <w:tab w:val="left" w:pos="1600"/>
          <w:tab w:val="left" w:pos="1601"/>
        </w:tabs>
        <w:spacing w:before="222"/>
        <w:ind w:left="1134" w:right="40" w:hanging="567"/>
        <w:rPr>
          <w:b w:val="0"/>
          <w:sz w:val="25"/>
        </w:rPr>
      </w:pPr>
      <w:r w:rsidRPr="001F4E4A">
        <w:rPr>
          <w:b w:val="0"/>
          <w:sz w:val="25"/>
        </w:rPr>
        <w:t>The Trustees need to consider whether a third party independent trustee should be appointed to the scheme.</w:t>
      </w:r>
    </w:p>
    <w:p w:rsidR="001F4E4A" w:rsidRDefault="001F4E4A" w:rsidP="001F4E4A">
      <w:pPr>
        <w:pStyle w:val="Heading1"/>
        <w:numPr>
          <w:ilvl w:val="0"/>
          <w:numId w:val="13"/>
        </w:numPr>
        <w:tabs>
          <w:tab w:val="left" w:pos="1600"/>
          <w:tab w:val="left" w:pos="1601"/>
        </w:tabs>
        <w:spacing w:before="222"/>
        <w:ind w:left="1134" w:right="40" w:hanging="567"/>
        <w:rPr>
          <w:b w:val="0"/>
          <w:sz w:val="25"/>
        </w:rPr>
      </w:pPr>
      <w:r>
        <w:rPr>
          <w:b w:val="0"/>
          <w:sz w:val="25"/>
        </w:rPr>
        <w:t>Correct the cancelled direct debit account from June 2017</w:t>
      </w:r>
      <w:r>
        <w:rPr>
          <w:b w:val="0"/>
          <w:sz w:val="25"/>
        </w:rPr>
        <w:t xml:space="preserve"> and obtain reimbursement for LEI registration. </w:t>
      </w:r>
    </w:p>
    <w:p w:rsidR="00460469" w:rsidRDefault="001F4E4A" w:rsidP="00460469">
      <w:pPr>
        <w:pStyle w:val="Heading1"/>
        <w:numPr>
          <w:ilvl w:val="0"/>
          <w:numId w:val="13"/>
        </w:numPr>
        <w:tabs>
          <w:tab w:val="left" w:pos="1600"/>
          <w:tab w:val="left" w:pos="1601"/>
        </w:tabs>
        <w:spacing w:before="222"/>
        <w:ind w:left="1134" w:right="40" w:hanging="567"/>
        <w:rPr>
          <w:b w:val="0"/>
          <w:sz w:val="25"/>
        </w:rPr>
      </w:pPr>
      <w:r>
        <w:rPr>
          <w:b w:val="0"/>
          <w:sz w:val="25"/>
        </w:rPr>
        <w:t xml:space="preserve">Notify the ICO in connection with the GDPR position for the scheme in respect of </w:t>
      </w:r>
      <w:r w:rsidR="00460469">
        <w:rPr>
          <w:b w:val="0"/>
          <w:sz w:val="25"/>
        </w:rPr>
        <w:t xml:space="preserve">conformity with the new data act regulations </w:t>
      </w:r>
      <w:r>
        <w:rPr>
          <w:b w:val="0"/>
          <w:sz w:val="25"/>
        </w:rPr>
        <w:t>by</w:t>
      </w:r>
      <w:r w:rsidR="00460469">
        <w:rPr>
          <w:b w:val="0"/>
          <w:sz w:val="25"/>
        </w:rPr>
        <w:t xml:space="preserve"> 23 May</w:t>
      </w:r>
      <w:r>
        <w:rPr>
          <w:b w:val="0"/>
          <w:sz w:val="25"/>
        </w:rPr>
        <w:t xml:space="preserve"> 2018.</w:t>
      </w:r>
    </w:p>
    <w:p w:rsidR="001F4E4A" w:rsidRDefault="001F4E4A" w:rsidP="001F4E4A">
      <w:pPr>
        <w:pStyle w:val="Heading1"/>
        <w:tabs>
          <w:tab w:val="left" w:pos="1600"/>
          <w:tab w:val="left" w:pos="1601"/>
        </w:tabs>
        <w:spacing w:before="222"/>
        <w:ind w:left="1134" w:right="40" w:firstLine="0"/>
        <w:rPr>
          <w:b w:val="0"/>
          <w:sz w:val="25"/>
        </w:rPr>
      </w:pPr>
    </w:p>
    <w:p w:rsidR="00460469" w:rsidRPr="00BF04DF" w:rsidRDefault="00460469" w:rsidP="00460469">
      <w:pPr>
        <w:pStyle w:val="Heading1"/>
        <w:tabs>
          <w:tab w:val="left" w:pos="1600"/>
          <w:tab w:val="left" w:pos="1601"/>
        </w:tabs>
        <w:spacing w:before="222"/>
        <w:ind w:left="567" w:right="40" w:firstLine="0"/>
        <w:rPr>
          <w:b w:val="0"/>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sectPr w:rsidR="00BF04DF" w:rsidSect="007F23D0">
      <w:footerReference w:type="default" r:id="rId9"/>
      <w:pgSz w:w="11910" w:h="16850"/>
      <w:pgMar w:top="1600" w:right="1845" w:bottom="1240" w:left="152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E35" w:rsidRDefault="00841E35">
      <w:r>
        <w:separator/>
      </w:r>
    </w:p>
  </w:endnote>
  <w:endnote w:type="continuationSeparator" w:id="0">
    <w:p w:rsidR="00841E35" w:rsidRDefault="0084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DAD" w:rsidRDefault="00986DA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DAD" w:rsidRDefault="00986DA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E35" w:rsidRDefault="00841E35">
      <w:r>
        <w:separator/>
      </w:r>
    </w:p>
  </w:footnote>
  <w:footnote w:type="continuationSeparator" w:id="0">
    <w:p w:rsidR="00841E35" w:rsidRDefault="00841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1C3"/>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15:restartNumberingAfterBreak="0">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662A85"/>
    <w:multiLevelType w:val="hybridMultilevel"/>
    <w:tmpl w:val="DDBE6018"/>
    <w:lvl w:ilvl="0" w:tplc="0B143D5E">
      <w:start w:val="1"/>
      <w:numFmt w:val="decimal"/>
      <w:lvlText w:val="%1."/>
      <w:lvlJc w:val="left"/>
      <w:pPr>
        <w:ind w:left="928"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6" w15:restartNumberingAfterBreak="0">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6E73F6"/>
    <w:multiLevelType w:val="hybridMultilevel"/>
    <w:tmpl w:val="296439AC"/>
    <w:lvl w:ilvl="0" w:tplc="6B3A25B0">
      <w:start w:val="7"/>
      <w:numFmt w:val="decimal"/>
      <w:lvlText w:val="%1"/>
      <w:lvlJc w:val="left"/>
      <w:pPr>
        <w:ind w:left="928" w:hanging="360"/>
      </w:pPr>
      <w:rPr>
        <w:rFonts w:hint="default"/>
        <w:color w:val="1FAED5"/>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15:restartNumberingAfterBreak="0">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DA3138"/>
    <w:multiLevelType w:val="multilevel"/>
    <w:tmpl w:val="C40C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791DD3"/>
    <w:multiLevelType w:val="hybridMultilevel"/>
    <w:tmpl w:val="A1D62C80"/>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 w15:restartNumberingAfterBreak="0">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5B7012"/>
    <w:multiLevelType w:val="multilevel"/>
    <w:tmpl w:val="0809001D"/>
    <w:lvl w:ilvl="0">
      <w:start w:val="1"/>
      <w:numFmt w:val="decimal"/>
      <w:lvlText w:val="%1)"/>
      <w:lvlJc w:val="left"/>
      <w:pPr>
        <w:ind w:left="1212"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9"/>
  </w:num>
  <w:num w:numId="4">
    <w:abstractNumId w:val="13"/>
  </w:num>
  <w:num w:numId="5">
    <w:abstractNumId w:val="4"/>
  </w:num>
  <w:num w:numId="6">
    <w:abstractNumId w:val="3"/>
  </w:num>
  <w:num w:numId="7">
    <w:abstractNumId w:val="0"/>
  </w:num>
  <w:num w:numId="8">
    <w:abstractNumId w:val="11"/>
  </w:num>
  <w:num w:numId="9">
    <w:abstractNumId w:val="8"/>
  </w:num>
  <w:num w:numId="10">
    <w:abstractNumId w:val="6"/>
  </w:num>
  <w:num w:numId="11">
    <w:abstractNumId w:val="1"/>
  </w:num>
  <w:num w:numId="12">
    <w:abstractNumId w:val="12"/>
  </w:num>
  <w:num w:numId="13">
    <w:abstractNumId w:val="14"/>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C6"/>
    <w:rsid w:val="000A72D5"/>
    <w:rsid w:val="000A77F4"/>
    <w:rsid w:val="000C17B8"/>
    <w:rsid w:val="001625B1"/>
    <w:rsid w:val="00195B1E"/>
    <w:rsid w:val="001E1097"/>
    <w:rsid w:val="001F4E4A"/>
    <w:rsid w:val="00343E33"/>
    <w:rsid w:val="003A0971"/>
    <w:rsid w:val="003A72D3"/>
    <w:rsid w:val="003E1365"/>
    <w:rsid w:val="00460469"/>
    <w:rsid w:val="0064183D"/>
    <w:rsid w:val="006B3197"/>
    <w:rsid w:val="006D748E"/>
    <w:rsid w:val="00773D22"/>
    <w:rsid w:val="007F1EA4"/>
    <w:rsid w:val="007F23D0"/>
    <w:rsid w:val="00841E35"/>
    <w:rsid w:val="00841FFD"/>
    <w:rsid w:val="008548C1"/>
    <w:rsid w:val="008F332D"/>
    <w:rsid w:val="00986DAD"/>
    <w:rsid w:val="00AC3193"/>
    <w:rsid w:val="00AD38C1"/>
    <w:rsid w:val="00B20A31"/>
    <w:rsid w:val="00BD1A4E"/>
    <w:rsid w:val="00BF04DF"/>
    <w:rsid w:val="00C014AC"/>
    <w:rsid w:val="00DC2693"/>
    <w:rsid w:val="00DF1CFF"/>
    <w:rsid w:val="00E045C6"/>
    <w:rsid w:val="00E1136E"/>
    <w:rsid w:val="00E43354"/>
    <w:rsid w:val="00E768DB"/>
    <w:rsid w:val="00F34D50"/>
    <w:rsid w:val="00F74D38"/>
    <w:rsid w:val="00FB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E86C5C"/>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semiHidden/>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styleId="UnresolvedMention">
    <w:name w:val="Unresolved Mention"/>
    <w:basedOn w:val="DefaultParagraphFont"/>
    <w:uiPriority w:val="99"/>
    <w:semiHidden/>
    <w:unhideWhenUsed/>
    <w:rsid w:val="006D748E"/>
    <w:rPr>
      <w:color w:val="808080"/>
      <w:shd w:val="clear" w:color="auto" w:fill="E6E6E6"/>
    </w:rPr>
  </w:style>
  <w:style w:type="character" w:styleId="FollowedHyperlink">
    <w:name w:val="FollowedHyperlink"/>
    <w:basedOn w:val="DefaultParagraphFont"/>
    <w:uiPriority w:val="99"/>
    <w:semiHidden/>
    <w:unhideWhenUsed/>
    <w:rsid w:val="001F4E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7123">
      <w:bodyDiv w:val="1"/>
      <w:marLeft w:val="0"/>
      <w:marRight w:val="0"/>
      <w:marTop w:val="0"/>
      <w:marBottom w:val="0"/>
      <w:divBdr>
        <w:top w:val="none" w:sz="0" w:space="0" w:color="auto"/>
        <w:left w:val="none" w:sz="0" w:space="0" w:color="auto"/>
        <w:bottom w:val="none" w:sz="0" w:space="0" w:color="auto"/>
        <w:right w:val="none" w:sz="0" w:space="0" w:color="auto"/>
      </w:divBdr>
      <w:divsChild>
        <w:div w:id="923147425">
          <w:marLeft w:val="0"/>
          <w:marRight w:val="0"/>
          <w:marTop w:val="0"/>
          <w:marBottom w:val="0"/>
          <w:divBdr>
            <w:top w:val="single" w:sz="6" w:space="0" w:color="009966"/>
            <w:left w:val="none" w:sz="0" w:space="0" w:color="auto"/>
            <w:bottom w:val="single" w:sz="6" w:space="0" w:color="009966"/>
            <w:right w:val="none" w:sz="0" w:space="0" w:color="auto"/>
          </w:divBdr>
        </w:div>
        <w:div w:id="52124187">
          <w:marLeft w:val="0"/>
          <w:marRight w:val="0"/>
          <w:marTop w:val="0"/>
          <w:marBottom w:val="0"/>
          <w:divBdr>
            <w:top w:val="single" w:sz="6" w:space="0" w:color="009966"/>
            <w:left w:val="none" w:sz="0" w:space="0" w:color="auto"/>
            <w:bottom w:val="single" w:sz="6" w:space="0" w:color="009966"/>
            <w:right w:val="none" w:sz="0" w:space="0" w:color="auto"/>
          </w:divBdr>
        </w:div>
        <w:div w:id="666130695">
          <w:marLeft w:val="0"/>
          <w:marRight w:val="0"/>
          <w:marTop w:val="0"/>
          <w:marBottom w:val="0"/>
          <w:divBdr>
            <w:top w:val="single" w:sz="6" w:space="0" w:color="009966"/>
            <w:left w:val="none" w:sz="0" w:space="0" w:color="auto"/>
            <w:bottom w:val="single" w:sz="6" w:space="0" w:color="009966"/>
            <w:right w:val="none" w:sz="0" w:space="0" w:color="auto"/>
          </w:divBdr>
        </w:div>
      </w:divsChild>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313027468">
      <w:bodyDiv w:val="1"/>
      <w:marLeft w:val="0"/>
      <w:marRight w:val="0"/>
      <w:marTop w:val="0"/>
      <w:marBottom w:val="0"/>
      <w:divBdr>
        <w:top w:val="none" w:sz="0" w:space="0" w:color="auto"/>
        <w:left w:val="none" w:sz="0" w:space="0" w:color="auto"/>
        <w:bottom w:val="none" w:sz="0" w:space="0" w:color="auto"/>
        <w:right w:val="none" w:sz="0" w:space="0" w:color="auto"/>
      </w:divBdr>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W:\vpn\Non%20Folder\Stacy\pie%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Fund Breakdown</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30"/>
      <c:rotY val="2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448717948717948E-2"/>
          <c:y val="0.15445776930186847"/>
          <c:w val="0.96474358974358976"/>
          <c:h val="0.84257046249605128"/>
        </c:manualLayout>
      </c:layout>
      <c:pie3DChart>
        <c:varyColors val="1"/>
        <c:ser>
          <c:idx val="0"/>
          <c:order val="0"/>
          <c:tx>
            <c:strRef>
              <c:f>'[pie chart.xlsx]Assets'!$B$3</c:f>
              <c:strCache>
                <c:ptCount val="1"/>
                <c:pt idx="0">
                  <c:v> Amount </c:v>
                </c:pt>
              </c:strCache>
            </c:strRef>
          </c:tx>
          <c:explosion val="10"/>
          <c:dPt>
            <c:idx val="0"/>
            <c:bubble3D val="0"/>
            <c:spPr>
              <a:blipFill>
                <a:blip xmlns:r="http://schemas.openxmlformats.org/officeDocument/2006/relationships" r:embed="rId3">
                  <a:duotone>
                    <a:schemeClr val="accent1">
                      <a:shade val="63000"/>
                      <a:tint val="82000"/>
                    </a:schemeClr>
                    <a:schemeClr val="accent1">
                      <a:tint val="10000"/>
                      <a:satMod val="400000"/>
                    </a:schemeClr>
                  </a:duotone>
                </a:blip>
                <a:tile tx="0" ty="0" sx="40000" sy="40000" flip="none" algn="tl"/>
              </a:blipFill>
              <a:ln>
                <a:noFill/>
              </a:ln>
              <a:effectLst>
                <a:outerShdw blurRad="95000" rotWithShape="0">
                  <a:srgbClr val="000000">
                    <a:alpha val="50000"/>
                  </a:srgbClr>
                </a:outerShdw>
                <a:softEdge rad="12700"/>
              </a:effectLst>
              <a:sp3d/>
            </c:spPr>
            <c:extLst>
              <c:ext xmlns:c16="http://schemas.microsoft.com/office/drawing/2014/chart" uri="{C3380CC4-5D6E-409C-BE32-E72D297353CC}">
                <c16:uniqueId val="{00000001-A6B4-4E6F-AC2B-FBA39145B44C}"/>
              </c:ext>
            </c:extLst>
          </c:dPt>
          <c:dPt>
            <c:idx val="1"/>
            <c:bubble3D val="0"/>
            <c:spPr>
              <a:blipFill>
                <a:blip xmlns:r="http://schemas.openxmlformats.org/officeDocument/2006/relationships" r:embed="rId3">
                  <a:duotone>
                    <a:schemeClr val="accent2">
                      <a:shade val="63000"/>
                      <a:tint val="82000"/>
                    </a:schemeClr>
                    <a:schemeClr val="accent2">
                      <a:tint val="10000"/>
                      <a:satMod val="400000"/>
                    </a:schemeClr>
                  </a:duotone>
                </a:blip>
                <a:tile tx="0" ty="0" sx="40000" sy="40000" flip="none" algn="tl"/>
              </a:blipFill>
              <a:ln>
                <a:noFill/>
              </a:ln>
              <a:effectLst>
                <a:outerShdw blurRad="95000" rotWithShape="0">
                  <a:srgbClr val="000000">
                    <a:alpha val="50000"/>
                  </a:srgbClr>
                </a:outerShdw>
                <a:softEdge rad="12700"/>
              </a:effectLst>
              <a:sp3d/>
            </c:spPr>
            <c:extLst>
              <c:ext xmlns:c16="http://schemas.microsoft.com/office/drawing/2014/chart" uri="{C3380CC4-5D6E-409C-BE32-E72D297353CC}">
                <c16:uniqueId val="{00000003-A6B4-4E6F-AC2B-FBA39145B44C}"/>
              </c:ext>
            </c:extLst>
          </c:dPt>
          <c:dPt>
            <c:idx val="2"/>
            <c:bubble3D val="0"/>
            <c:spPr>
              <a:blipFill>
                <a:blip xmlns:r="http://schemas.openxmlformats.org/officeDocument/2006/relationships" r:embed="rId3">
                  <a:duotone>
                    <a:schemeClr val="accent3">
                      <a:shade val="63000"/>
                      <a:tint val="82000"/>
                    </a:schemeClr>
                    <a:schemeClr val="accent3">
                      <a:tint val="10000"/>
                      <a:satMod val="400000"/>
                    </a:schemeClr>
                  </a:duotone>
                </a:blip>
                <a:tile tx="0" ty="0" sx="40000" sy="40000" flip="none" algn="tl"/>
              </a:blipFill>
              <a:ln>
                <a:noFill/>
              </a:ln>
              <a:effectLst>
                <a:outerShdw blurRad="95000" rotWithShape="0">
                  <a:srgbClr val="000000">
                    <a:alpha val="50000"/>
                  </a:srgbClr>
                </a:outerShdw>
                <a:softEdge rad="12700"/>
              </a:effectLst>
              <a:sp3d/>
            </c:spPr>
            <c:extLst>
              <c:ext xmlns:c16="http://schemas.microsoft.com/office/drawing/2014/chart" uri="{C3380CC4-5D6E-409C-BE32-E72D297353CC}">
                <c16:uniqueId val="{00000005-A6B4-4E6F-AC2B-FBA39145B44C}"/>
              </c:ext>
            </c:extLst>
          </c:dPt>
          <c:dPt>
            <c:idx val="3"/>
            <c:bubble3D val="0"/>
            <c:spPr>
              <a:blipFill>
                <a:blip xmlns:r="http://schemas.openxmlformats.org/officeDocument/2006/relationships" r:embed="rId3">
                  <a:duotone>
                    <a:schemeClr val="accent4">
                      <a:shade val="63000"/>
                      <a:tint val="82000"/>
                    </a:schemeClr>
                    <a:schemeClr val="accent4">
                      <a:tint val="10000"/>
                      <a:satMod val="400000"/>
                    </a:schemeClr>
                  </a:duotone>
                </a:blip>
                <a:tile tx="0" ty="0" sx="40000" sy="40000" flip="none" algn="tl"/>
              </a:blipFill>
              <a:ln>
                <a:noFill/>
              </a:ln>
              <a:effectLst>
                <a:outerShdw blurRad="95000" rotWithShape="0">
                  <a:srgbClr val="000000">
                    <a:alpha val="50000"/>
                  </a:srgbClr>
                </a:outerShdw>
                <a:softEdge rad="12700"/>
              </a:effectLst>
              <a:sp3d/>
            </c:spPr>
            <c:extLst>
              <c:ext xmlns:c16="http://schemas.microsoft.com/office/drawing/2014/chart" uri="{C3380CC4-5D6E-409C-BE32-E72D297353CC}">
                <c16:uniqueId val="{00000007-A6B4-4E6F-AC2B-FBA39145B44C}"/>
              </c:ext>
            </c:extLst>
          </c:dPt>
          <c:dPt>
            <c:idx val="4"/>
            <c:bubble3D val="0"/>
            <c:spPr>
              <a:blipFill>
                <a:blip xmlns:r="http://schemas.openxmlformats.org/officeDocument/2006/relationships" r:embed="rId3">
                  <a:duotone>
                    <a:schemeClr val="accent5">
                      <a:shade val="63000"/>
                      <a:tint val="82000"/>
                    </a:schemeClr>
                    <a:schemeClr val="accent5">
                      <a:tint val="10000"/>
                      <a:satMod val="400000"/>
                    </a:schemeClr>
                  </a:duotone>
                </a:blip>
                <a:tile tx="0" ty="0" sx="40000" sy="40000" flip="none" algn="tl"/>
              </a:blipFill>
              <a:ln>
                <a:noFill/>
              </a:ln>
              <a:effectLst>
                <a:outerShdw blurRad="95000" rotWithShape="0">
                  <a:srgbClr val="000000">
                    <a:alpha val="50000"/>
                  </a:srgbClr>
                </a:outerShdw>
                <a:softEdge rad="12700"/>
              </a:effectLst>
              <a:sp3d/>
            </c:spPr>
            <c:extLst>
              <c:ext xmlns:c16="http://schemas.microsoft.com/office/drawing/2014/chart" uri="{C3380CC4-5D6E-409C-BE32-E72D297353CC}">
                <c16:uniqueId val="{00000009-A6B4-4E6F-AC2B-FBA39145B44C}"/>
              </c:ext>
            </c:extLst>
          </c:dPt>
          <c:dPt>
            <c:idx val="5"/>
            <c:bubble3D val="0"/>
            <c:spPr>
              <a:blipFill>
                <a:blip xmlns:r="http://schemas.openxmlformats.org/officeDocument/2006/relationships" r:embed="rId3">
                  <a:duotone>
                    <a:schemeClr val="accent6">
                      <a:shade val="63000"/>
                      <a:tint val="82000"/>
                    </a:schemeClr>
                    <a:schemeClr val="accent6">
                      <a:tint val="10000"/>
                      <a:satMod val="400000"/>
                    </a:schemeClr>
                  </a:duotone>
                </a:blip>
                <a:tile tx="0" ty="0" sx="40000" sy="40000" flip="none" algn="tl"/>
              </a:blipFill>
              <a:ln>
                <a:noFill/>
              </a:ln>
              <a:effectLst>
                <a:outerShdw blurRad="95000" rotWithShape="0">
                  <a:srgbClr val="000000">
                    <a:alpha val="50000"/>
                  </a:srgbClr>
                </a:outerShdw>
                <a:softEdge rad="12700"/>
              </a:effectLst>
              <a:sp3d/>
            </c:spPr>
            <c:extLst>
              <c:ext xmlns:c16="http://schemas.microsoft.com/office/drawing/2014/chart" uri="{C3380CC4-5D6E-409C-BE32-E72D297353CC}">
                <c16:uniqueId val="{0000000B-A6B4-4E6F-AC2B-FBA39145B44C}"/>
              </c:ext>
            </c:extLst>
          </c:dPt>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'[pie chart.xlsx]Assets'!$A$4:$A$9</c:f>
              <c:strCache>
                <c:ptCount val="4"/>
                <c:pt idx="0">
                  <c:v>19 Liongate</c:v>
                </c:pt>
                <c:pt idx="1">
                  <c:v>Rugby Park</c:v>
                </c:pt>
                <c:pt idx="2">
                  <c:v>Share Portfolio</c:v>
                </c:pt>
                <c:pt idx="3">
                  <c:v>Cash at Bank</c:v>
                </c:pt>
              </c:strCache>
            </c:strRef>
          </c:cat>
          <c:val>
            <c:numRef>
              <c:f>'[pie chart.xlsx]Assets'!$B$4:$B$9</c:f>
              <c:numCache>
                <c:formatCode>_-[$£-809]* #,##0.00_-;\-[$£-809]* #,##0.00_-;_-[$£-809]* "-"??_-;_-@_-</c:formatCode>
                <c:ptCount val="6"/>
                <c:pt idx="0">
                  <c:v>453645</c:v>
                </c:pt>
                <c:pt idx="1">
                  <c:v>225000</c:v>
                </c:pt>
                <c:pt idx="2">
                  <c:v>59977</c:v>
                </c:pt>
                <c:pt idx="3">
                  <c:v>19840</c:v>
                </c:pt>
              </c:numCache>
            </c:numRef>
          </c:val>
          <c:extLst>
            <c:ext xmlns:c16="http://schemas.microsoft.com/office/drawing/2014/chart" uri="{C3380CC4-5D6E-409C-BE32-E72D297353CC}">
              <c16:uniqueId val="{0000000C-A6B4-4E6F-AC2B-FBA39145B44C}"/>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Gavin Mccloskey</cp:lastModifiedBy>
  <cp:revision>2</cp:revision>
  <dcterms:created xsi:type="dcterms:W3CDTF">2018-03-06T14:05:00Z</dcterms:created>
  <dcterms:modified xsi:type="dcterms:W3CDTF">2018-03-06T14:05:00Z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