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652" w:rsidRDefault="00E54652" w:rsidP="0037775A">
      <w:pPr>
        <w:pStyle w:val="Text"/>
      </w:pPr>
    </w:p>
    <w:p w:rsidR="00E54652" w:rsidRDefault="00E54652" w:rsidP="00CA27F2">
      <w:pPr>
        <w:tabs>
          <w:tab w:val="left" w:pos="1701"/>
        </w:tabs>
        <w:ind w:left="1701"/>
        <w:jc w:val="right"/>
        <w:rPr>
          <w:rFonts w:ascii="Helvetica" w:hAnsi="Helvetica"/>
          <w:b/>
          <w:sz w:val="40"/>
          <w:szCs w:val="24"/>
        </w:rPr>
      </w:pPr>
    </w:p>
    <w:p w:rsidR="009F7109" w:rsidRDefault="009F7109" w:rsidP="000874E6">
      <w:pPr>
        <w:pStyle w:val="Name"/>
        <w:jc w:val="right"/>
        <w:rPr>
          <w:rFonts w:eastAsia="Times New Roman" w:cs="Calibri"/>
          <w:iCs/>
          <w:color w:val="000000" w:themeColor="text1"/>
          <w:sz w:val="48"/>
        </w:rPr>
      </w:pPr>
    </w:p>
    <w:p w:rsidR="000874E6" w:rsidRPr="000874E6" w:rsidRDefault="008F5A1A" w:rsidP="000874E6">
      <w:pPr>
        <w:pStyle w:val="Name"/>
        <w:jc w:val="right"/>
        <w:rPr>
          <w:rFonts w:eastAsia="Times New Roman" w:cs="Calibri"/>
          <w:iCs/>
          <w:color w:val="000000" w:themeColor="text1"/>
          <w:sz w:val="48"/>
        </w:rPr>
      </w:pPr>
      <w:r>
        <w:rPr>
          <w:rFonts w:eastAsia="Times New Roman" w:cs="Calibri"/>
          <w:iCs/>
          <w:color w:val="000000" w:themeColor="text1"/>
          <w:sz w:val="48"/>
        </w:rPr>
        <w:t>2013</w:t>
      </w:r>
      <w:r w:rsidR="000874E6" w:rsidRPr="000874E6">
        <w:rPr>
          <w:rFonts w:eastAsia="Times New Roman" w:cs="Calibri"/>
          <w:iCs/>
          <w:color w:val="000000" w:themeColor="text1"/>
          <w:sz w:val="48"/>
        </w:rPr>
        <w:t xml:space="preserve"> Annual Report </w:t>
      </w:r>
    </w:p>
    <w:p w:rsidR="001E12EE" w:rsidRDefault="000874E6" w:rsidP="001E12EE">
      <w:pPr>
        <w:pStyle w:val="Name"/>
        <w:jc w:val="right"/>
        <w:rPr>
          <w:rStyle w:val="Emphasis"/>
          <w:i w:val="0"/>
          <w:iCs w:val="0"/>
          <w:color w:val="auto"/>
          <w:sz w:val="28"/>
          <w:szCs w:val="28"/>
        </w:rPr>
      </w:pPr>
      <w:proofErr w:type="gramStart"/>
      <w:r w:rsidRPr="001E12EE">
        <w:rPr>
          <w:rStyle w:val="Emphasis"/>
          <w:i w:val="0"/>
          <w:iCs w:val="0"/>
          <w:color w:val="auto"/>
          <w:sz w:val="28"/>
          <w:szCs w:val="28"/>
        </w:rPr>
        <w:t>to</w:t>
      </w:r>
      <w:proofErr w:type="gramEnd"/>
      <w:r w:rsidRPr="001E12EE">
        <w:rPr>
          <w:rStyle w:val="Emphasis"/>
          <w:i w:val="0"/>
          <w:iCs w:val="0"/>
          <w:color w:val="auto"/>
          <w:sz w:val="28"/>
          <w:szCs w:val="28"/>
        </w:rPr>
        <w:t xml:space="preserve"> the Trustees of </w:t>
      </w:r>
    </w:p>
    <w:p w:rsidR="001E12EE" w:rsidRPr="001E12EE" w:rsidRDefault="001E12EE" w:rsidP="001E12EE">
      <w:pPr>
        <w:pStyle w:val="Name"/>
        <w:jc w:val="right"/>
        <w:rPr>
          <w:rStyle w:val="Emphasis"/>
          <w:i w:val="0"/>
          <w:iCs w:val="0"/>
          <w:color w:val="auto"/>
          <w:sz w:val="28"/>
          <w:szCs w:val="28"/>
        </w:rPr>
      </w:pPr>
    </w:p>
    <w:p w:rsidR="000874E6" w:rsidRDefault="00DA7B0D" w:rsidP="001E12EE">
      <w:pPr>
        <w:pStyle w:val="Name"/>
        <w:jc w:val="right"/>
        <w:rPr>
          <w:rStyle w:val="BlueCompany"/>
          <w:b/>
          <w:sz w:val="48"/>
        </w:rPr>
      </w:pPr>
      <w:r>
        <w:rPr>
          <w:rStyle w:val="BlueCompany"/>
          <w:b/>
          <w:sz w:val="48"/>
        </w:rPr>
        <w:t>Hammerhead TV Pension</w:t>
      </w:r>
    </w:p>
    <w:p w:rsidR="00DA7B0D" w:rsidRPr="00920BB4" w:rsidRDefault="00DA7B0D" w:rsidP="001E12EE">
      <w:pPr>
        <w:pStyle w:val="Name"/>
        <w:jc w:val="right"/>
        <w:rPr>
          <w:rStyle w:val="BlueCompany"/>
          <w:rFonts w:ascii="Helvetica Light" w:eastAsia="Times New Roman" w:hAnsi="Helvetica Light" w:cs="Calibri"/>
          <w:b/>
          <w:iCs/>
          <w:color w:val="000000" w:themeColor="text1"/>
        </w:rPr>
      </w:pPr>
      <w:r>
        <w:rPr>
          <w:rStyle w:val="BlueCompany"/>
          <w:b/>
          <w:sz w:val="48"/>
        </w:rPr>
        <w:t>Scheme No 1</w:t>
      </w:r>
    </w:p>
    <w:p w:rsidR="000874E6" w:rsidRDefault="000874E6" w:rsidP="00CA27F2">
      <w:pPr>
        <w:ind w:firstLine="1701"/>
        <w:jc w:val="right"/>
        <w:rPr>
          <w:rFonts w:ascii="Helvetica" w:hAnsi="Helvetica"/>
          <w:b/>
          <w:color w:val="7F7F7F" w:themeColor="text1" w:themeTint="80"/>
          <w:sz w:val="96"/>
          <w:szCs w:val="24"/>
        </w:rPr>
      </w:pPr>
    </w:p>
    <w:p w:rsidR="000874E6" w:rsidRDefault="000874E6" w:rsidP="00CA27F2">
      <w:pPr>
        <w:ind w:firstLine="1701"/>
        <w:jc w:val="right"/>
        <w:rPr>
          <w:rFonts w:ascii="Helvetica Light" w:hAnsi="Helvetica Light"/>
          <w:color w:val="7F7F7F" w:themeColor="text1" w:themeTint="80"/>
          <w:szCs w:val="24"/>
        </w:rPr>
      </w:pPr>
    </w:p>
    <w:p w:rsidR="000874E6" w:rsidRDefault="000874E6" w:rsidP="000874E6">
      <w:pPr>
        <w:jc w:val="right"/>
        <w:rPr>
          <w:rFonts w:ascii="Helvetica" w:hAnsi="Helvetica"/>
          <w:b/>
          <w:color w:val="7F7F7F" w:themeColor="text1" w:themeTint="80"/>
          <w:sz w:val="96"/>
          <w:szCs w:val="24"/>
        </w:rPr>
      </w:pPr>
    </w:p>
    <w:p w:rsidR="000874E6" w:rsidRDefault="000874E6" w:rsidP="00CA27F2">
      <w:pPr>
        <w:ind w:firstLine="1701"/>
        <w:jc w:val="right"/>
        <w:rPr>
          <w:rFonts w:ascii="Helvetica" w:hAnsi="Helvetica"/>
          <w:b/>
          <w:color w:val="7F7F7F" w:themeColor="text1" w:themeTint="80"/>
          <w:sz w:val="96"/>
          <w:szCs w:val="24"/>
        </w:rPr>
      </w:pPr>
    </w:p>
    <w:p w:rsidR="000874E6" w:rsidRDefault="000874E6" w:rsidP="00CA27F2">
      <w:pPr>
        <w:ind w:firstLine="1701"/>
        <w:jc w:val="right"/>
        <w:rPr>
          <w:rFonts w:ascii="Helvetica" w:hAnsi="Helvetica"/>
          <w:b/>
          <w:color w:val="7F7F7F" w:themeColor="text1" w:themeTint="80"/>
          <w:sz w:val="96"/>
          <w:szCs w:val="24"/>
        </w:rPr>
      </w:pPr>
    </w:p>
    <w:p w:rsidR="000874E6" w:rsidRDefault="000874E6" w:rsidP="000874E6">
      <w:pPr>
        <w:ind w:firstLine="1701"/>
        <w:jc w:val="right"/>
        <w:rPr>
          <w:rFonts w:ascii="Helvetica Light" w:hAnsi="Helvetica Light"/>
          <w:color w:val="7F7F7F" w:themeColor="text1" w:themeTint="80"/>
          <w:szCs w:val="24"/>
        </w:rPr>
      </w:pPr>
    </w:p>
    <w:p w:rsidR="000874E6" w:rsidRDefault="000874E6" w:rsidP="000874E6">
      <w:pPr>
        <w:ind w:firstLine="1701"/>
        <w:jc w:val="right"/>
        <w:rPr>
          <w:rFonts w:ascii="Helvetica Light" w:hAnsi="Helvetica Light"/>
          <w:color w:val="7F7F7F" w:themeColor="text1" w:themeTint="80"/>
          <w:szCs w:val="24"/>
        </w:rPr>
      </w:pPr>
    </w:p>
    <w:p w:rsidR="00CA27F2" w:rsidRDefault="00227EA8" w:rsidP="00227EA8">
      <w:pPr>
        <w:tabs>
          <w:tab w:val="left" w:pos="6620"/>
          <w:tab w:val="right" w:pos="7629"/>
        </w:tabs>
        <w:ind w:firstLine="1701"/>
        <w:rPr>
          <w:rFonts w:ascii="Helvetica" w:hAnsi="Helvetica"/>
          <w:b/>
          <w:color w:val="7F7F7F" w:themeColor="text1" w:themeTint="80"/>
          <w:sz w:val="96"/>
          <w:szCs w:val="24"/>
        </w:rPr>
      </w:pPr>
      <w:r>
        <w:rPr>
          <w:rFonts w:ascii="Helvetica" w:hAnsi="Helvetica"/>
          <w:b/>
          <w:color w:val="7F7F7F" w:themeColor="text1" w:themeTint="80"/>
          <w:sz w:val="96"/>
          <w:szCs w:val="24"/>
        </w:rPr>
        <w:lastRenderedPageBreak/>
        <w:tab/>
      </w:r>
    </w:p>
    <w:p w:rsidR="00227EA8" w:rsidRPr="00227EA8" w:rsidRDefault="00227EA8" w:rsidP="00227EA8">
      <w:pPr>
        <w:pStyle w:val="Company"/>
        <w:rPr>
          <w:rStyle w:val="BlueCompany"/>
          <w:b/>
        </w:rPr>
      </w:pPr>
      <w:r w:rsidRPr="00227EA8">
        <w:rPr>
          <w:rStyle w:val="BlueCompany"/>
          <w:b/>
          <w:sz w:val="48"/>
        </w:rPr>
        <w:t>Index</w:t>
      </w:r>
    </w:p>
    <w:p w:rsidR="00227EA8" w:rsidRPr="00227EA8" w:rsidRDefault="00227EA8" w:rsidP="00227EA8">
      <w:pPr>
        <w:pStyle w:val="Text"/>
        <w:rPr>
          <w:rFonts w:cs="Calibri"/>
          <w:sz w:val="23"/>
          <w:szCs w:val="23"/>
        </w:rPr>
      </w:pPr>
    </w:p>
    <w:p w:rsidR="00227EA8" w:rsidRPr="00227EA8" w:rsidRDefault="001E12EE" w:rsidP="00227EA8">
      <w:pPr>
        <w:pStyle w:val="Text"/>
        <w:rPr>
          <w:rStyle w:val="Emphasis"/>
        </w:rPr>
      </w:pPr>
      <w:r>
        <w:rPr>
          <w:rStyle w:val="Emphasis"/>
          <w:rFonts w:cs="Calibri"/>
          <w:b/>
          <w:i w:val="0"/>
          <w:color w:val="808080" w:themeColor="background1" w:themeShade="80"/>
          <w:sz w:val="23"/>
          <w:szCs w:val="23"/>
        </w:rPr>
        <w:t>1.</w:t>
      </w:r>
      <w:r w:rsidR="00227EA8" w:rsidRPr="00227EA8">
        <w:rPr>
          <w:rStyle w:val="Emphasis"/>
          <w:rFonts w:cs="Calibri"/>
          <w:b/>
          <w:i w:val="0"/>
          <w:color w:val="808080" w:themeColor="background1" w:themeShade="80"/>
          <w:sz w:val="23"/>
          <w:szCs w:val="23"/>
        </w:rPr>
        <w:tab/>
      </w:r>
      <w:r w:rsidR="00227EA8" w:rsidRPr="004A647E">
        <w:rPr>
          <w:rStyle w:val="Emphasis"/>
          <w:rFonts w:cs="Calibri"/>
          <w:i w:val="0"/>
          <w:sz w:val="23"/>
          <w:szCs w:val="23"/>
        </w:rPr>
        <w:t>Introduction</w:t>
      </w:r>
    </w:p>
    <w:p w:rsidR="00227EA8" w:rsidRPr="00227EA8" w:rsidRDefault="001E12EE" w:rsidP="00227EA8">
      <w:pPr>
        <w:pStyle w:val="Text"/>
        <w:rPr>
          <w:rStyle w:val="Emphasis"/>
        </w:rPr>
      </w:pPr>
      <w:r>
        <w:rPr>
          <w:rStyle w:val="Emphasis"/>
          <w:rFonts w:cs="Calibri"/>
          <w:b/>
          <w:i w:val="0"/>
          <w:color w:val="808080" w:themeColor="background1" w:themeShade="80"/>
          <w:sz w:val="23"/>
          <w:szCs w:val="23"/>
        </w:rPr>
        <w:t>2.</w:t>
      </w:r>
      <w:r w:rsidR="00227EA8" w:rsidRPr="00227EA8">
        <w:rPr>
          <w:rStyle w:val="Emphasis"/>
          <w:rFonts w:cs="Calibri"/>
          <w:b/>
          <w:i w:val="0"/>
          <w:color w:val="808080" w:themeColor="background1" w:themeShade="80"/>
          <w:sz w:val="23"/>
          <w:szCs w:val="23"/>
        </w:rPr>
        <w:tab/>
      </w:r>
      <w:r w:rsidR="00227EA8" w:rsidRPr="004A647E">
        <w:rPr>
          <w:rStyle w:val="Emphasis"/>
          <w:rFonts w:cs="Calibri"/>
          <w:i w:val="0"/>
          <w:sz w:val="23"/>
          <w:szCs w:val="23"/>
        </w:rPr>
        <w:t>Pension scheme return</w:t>
      </w:r>
    </w:p>
    <w:p w:rsidR="00227EA8" w:rsidRPr="00227EA8" w:rsidRDefault="001E12EE" w:rsidP="00227EA8">
      <w:pPr>
        <w:pStyle w:val="Text"/>
        <w:rPr>
          <w:rFonts w:cs="Calibri"/>
          <w:b/>
          <w:sz w:val="23"/>
          <w:szCs w:val="23"/>
        </w:rPr>
      </w:pPr>
      <w:r>
        <w:rPr>
          <w:rFonts w:cs="Calibri"/>
          <w:b/>
          <w:color w:val="808080" w:themeColor="background1" w:themeShade="80"/>
          <w:sz w:val="23"/>
          <w:szCs w:val="23"/>
        </w:rPr>
        <w:t>3.</w:t>
      </w:r>
      <w:r w:rsidR="00227EA8" w:rsidRPr="00227EA8">
        <w:rPr>
          <w:rFonts w:cs="Calibri"/>
          <w:b/>
          <w:color w:val="808080" w:themeColor="background1" w:themeShade="80"/>
          <w:sz w:val="23"/>
          <w:szCs w:val="23"/>
        </w:rPr>
        <w:tab/>
      </w:r>
      <w:r w:rsidR="00FE7129">
        <w:rPr>
          <w:rFonts w:cs="Calibri"/>
          <w:sz w:val="23"/>
          <w:szCs w:val="23"/>
        </w:rPr>
        <w:t xml:space="preserve">Inflation report </w:t>
      </w:r>
      <w:r w:rsidR="003227BF">
        <w:rPr>
          <w:rFonts w:cs="Calibri"/>
          <w:sz w:val="23"/>
          <w:szCs w:val="23"/>
        </w:rPr>
        <w:t xml:space="preserve">2013 </w:t>
      </w:r>
      <w:r w:rsidR="00FE7129" w:rsidRPr="00FE7129">
        <w:rPr>
          <w:rFonts w:cs="Calibri"/>
          <w:sz w:val="23"/>
          <w:szCs w:val="23"/>
        </w:rPr>
        <w:t>and outlook for 2014</w:t>
      </w:r>
    </w:p>
    <w:p w:rsidR="00227EA8" w:rsidRPr="00227EA8" w:rsidRDefault="001E12EE" w:rsidP="00227EA8">
      <w:pPr>
        <w:pStyle w:val="Text"/>
        <w:rPr>
          <w:rFonts w:cs="Calibri"/>
          <w:b/>
          <w:sz w:val="23"/>
          <w:szCs w:val="23"/>
        </w:rPr>
      </w:pPr>
      <w:r>
        <w:rPr>
          <w:rFonts w:cs="Calibri"/>
          <w:b/>
          <w:color w:val="808080" w:themeColor="background1" w:themeShade="80"/>
          <w:sz w:val="23"/>
          <w:szCs w:val="23"/>
        </w:rPr>
        <w:t>4.</w:t>
      </w:r>
      <w:r w:rsidR="00227EA8" w:rsidRPr="00227EA8">
        <w:rPr>
          <w:rFonts w:cs="Calibri"/>
          <w:b/>
          <w:color w:val="808080" w:themeColor="background1" w:themeShade="80"/>
          <w:sz w:val="23"/>
          <w:szCs w:val="23"/>
        </w:rPr>
        <w:tab/>
      </w:r>
      <w:r w:rsidR="00227EA8" w:rsidRPr="004A647E">
        <w:rPr>
          <w:rFonts w:cs="Calibri"/>
          <w:sz w:val="23"/>
          <w:szCs w:val="23"/>
        </w:rPr>
        <w:t>Economic and markets report</w:t>
      </w:r>
      <w:r w:rsidR="00227EA8" w:rsidRPr="00227EA8">
        <w:rPr>
          <w:rFonts w:cs="Calibri"/>
          <w:b/>
          <w:sz w:val="23"/>
          <w:szCs w:val="23"/>
        </w:rPr>
        <w:t xml:space="preserve"> </w:t>
      </w:r>
    </w:p>
    <w:p w:rsidR="00227EA8" w:rsidRPr="00227EA8" w:rsidRDefault="001E12EE" w:rsidP="00227EA8">
      <w:pPr>
        <w:pStyle w:val="Text"/>
        <w:rPr>
          <w:rStyle w:val="Emphasis"/>
        </w:rPr>
      </w:pPr>
      <w:r>
        <w:rPr>
          <w:rStyle w:val="Emphasis"/>
          <w:rFonts w:cs="Calibri"/>
          <w:b/>
          <w:i w:val="0"/>
          <w:color w:val="808080" w:themeColor="background1" w:themeShade="80"/>
          <w:sz w:val="23"/>
          <w:szCs w:val="23"/>
        </w:rPr>
        <w:t>5.</w:t>
      </w:r>
      <w:r w:rsidR="00227EA8" w:rsidRPr="00227EA8">
        <w:rPr>
          <w:rStyle w:val="Emphasis"/>
          <w:rFonts w:cs="Calibri"/>
          <w:b/>
          <w:i w:val="0"/>
          <w:color w:val="808080" w:themeColor="background1" w:themeShade="80"/>
          <w:sz w:val="23"/>
          <w:szCs w:val="23"/>
        </w:rPr>
        <w:tab/>
      </w:r>
      <w:r w:rsidR="00FE7129" w:rsidRPr="00FE7129">
        <w:rPr>
          <w:rStyle w:val="Emphasis"/>
          <w:rFonts w:cs="Calibri"/>
          <w:i w:val="0"/>
          <w:sz w:val="23"/>
          <w:szCs w:val="23"/>
        </w:rPr>
        <w:t>Latest news</w:t>
      </w:r>
    </w:p>
    <w:p w:rsidR="00227EA8" w:rsidRPr="004A647E" w:rsidRDefault="00227EA8" w:rsidP="00227EA8">
      <w:pPr>
        <w:pStyle w:val="Text"/>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7E5CBD" w:rsidRDefault="007E5CBD" w:rsidP="00227EA8">
      <w:pPr>
        <w:pStyle w:val="Text"/>
        <w:rPr>
          <w:b/>
        </w:rPr>
      </w:pPr>
    </w:p>
    <w:p w:rsidR="007E5CBD" w:rsidRDefault="007E5CBD" w:rsidP="00227EA8">
      <w:pPr>
        <w:pStyle w:val="Text"/>
        <w:rPr>
          <w:b/>
        </w:rPr>
      </w:pPr>
    </w:p>
    <w:p w:rsidR="00227EA8" w:rsidRDefault="00227EA8" w:rsidP="00227EA8">
      <w:pPr>
        <w:pStyle w:val="Text"/>
        <w:rPr>
          <w:b/>
        </w:rPr>
      </w:pPr>
    </w:p>
    <w:p w:rsidR="00A65E9B" w:rsidRDefault="00A65E9B" w:rsidP="00227EA8">
      <w:pPr>
        <w:pStyle w:val="Headings"/>
        <w:rPr>
          <w:rStyle w:val="BlueCompany"/>
          <w:b/>
        </w:rPr>
      </w:pPr>
    </w:p>
    <w:p w:rsidR="00227EA8" w:rsidRPr="00227EA8" w:rsidRDefault="00FE7129" w:rsidP="00227EA8">
      <w:pPr>
        <w:pStyle w:val="Headings"/>
        <w:rPr>
          <w:rStyle w:val="BlueCompany"/>
        </w:rPr>
      </w:pPr>
      <w:r>
        <w:rPr>
          <w:rStyle w:val="BlueCompany"/>
          <w:b/>
          <w:color w:val="808080" w:themeColor="background1" w:themeShade="80"/>
          <w:sz w:val="48"/>
        </w:rPr>
        <w:lastRenderedPageBreak/>
        <w:t>1.</w:t>
      </w:r>
      <w:r w:rsidR="00227EA8">
        <w:rPr>
          <w:rStyle w:val="BlueCompany"/>
          <w:b/>
          <w:sz w:val="48"/>
        </w:rPr>
        <w:t xml:space="preserve"> </w:t>
      </w:r>
      <w:r w:rsidR="00227EA8" w:rsidRPr="00227EA8">
        <w:rPr>
          <w:rStyle w:val="BlueCompany"/>
          <w:b/>
          <w:sz w:val="48"/>
        </w:rPr>
        <w:t>Introduction</w:t>
      </w:r>
    </w:p>
    <w:p w:rsidR="00227EA8" w:rsidRPr="00920BB4" w:rsidRDefault="00227EA8" w:rsidP="00227EA8">
      <w:pPr>
        <w:pStyle w:val="Text"/>
        <w:rPr>
          <w:rFonts w:cs="Calibri"/>
          <w:szCs w:val="22"/>
        </w:rPr>
      </w:pPr>
    </w:p>
    <w:p w:rsidR="00FE7129" w:rsidRDefault="00FE7129" w:rsidP="007E5CBD">
      <w:pPr>
        <w:shd w:val="clear" w:color="auto" w:fill="FFFFFF"/>
        <w:spacing w:after="0" w:line="240" w:lineRule="auto"/>
        <w:jc w:val="both"/>
        <w:rPr>
          <w:rFonts w:ascii="Helvetica" w:eastAsia="Times New Roman" w:hAnsi="Helvetica" w:cs="Helvetica"/>
        </w:rPr>
      </w:pPr>
      <w:r w:rsidRPr="001E0966">
        <w:rPr>
          <w:rFonts w:ascii="Helvetica" w:eastAsia="Times New Roman" w:hAnsi="Helvetica" w:cs="Helvetica"/>
        </w:rPr>
        <w:t>We are pleased to enclose our annual report to the Trustees following completion of your tax return.</w:t>
      </w:r>
    </w:p>
    <w:p w:rsidR="00DA041E" w:rsidRPr="001E0966" w:rsidRDefault="00DA041E" w:rsidP="007E5CBD">
      <w:pPr>
        <w:shd w:val="clear" w:color="auto" w:fill="FFFFFF"/>
        <w:spacing w:after="0" w:line="240" w:lineRule="auto"/>
        <w:jc w:val="both"/>
        <w:rPr>
          <w:rFonts w:ascii="Helvetica" w:eastAsia="Times New Roman" w:hAnsi="Helvetica" w:cs="Helvetica"/>
        </w:rPr>
      </w:pPr>
    </w:p>
    <w:p w:rsidR="00FE7129" w:rsidRDefault="00FE7129" w:rsidP="007E5CBD">
      <w:pPr>
        <w:shd w:val="clear" w:color="auto" w:fill="FFFFFF"/>
        <w:spacing w:after="0" w:line="240" w:lineRule="auto"/>
        <w:jc w:val="both"/>
        <w:rPr>
          <w:rFonts w:ascii="Helvetica" w:eastAsia="Times New Roman" w:hAnsi="Helvetica" w:cs="Helvetica"/>
        </w:rPr>
      </w:pPr>
      <w:r w:rsidRPr="001E0966">
        <w:rPr>
          <w:rFonts w:ascii="Helvetica" w:eastAsia="Times New Roman" w:hAnsi="Helvetica" w:cs="Helvetica"/>
        </w:rPr>
        <w:t>This report provides a copy of our tax submissions to HM Revenue &amp; Customs on your behalf, together wit</w:t>
      </w:r>
      <w:r w:rsidR="00364423" w:rsidRPr="001E0966">
        <w:rPr>
          <w:rFonts w:ascii="Helvetica" w:eastAsia="Times New Roman" w:hAnsi="Helvetica" w:cs="Helvetica"/>
        </w:rPr>
        <w:t xml:space="preserve">h our comments where relevant. </w:t>
      </w:r>
      <w:r w:rsidRPr="001E0966">
        <w:rPr>
          <w:rFonts w:ascii="Helvetica" w:eastAsia="Times New Roman" w:hAnsi="Helvetica" w:cs="Helvetica"/>
        </w:rPr>
        <w:t xml:space="preserve">Please take the time to review this and advise us of anything that you are not in agreement with. </w:t>
      </w:r>
    </w:p>
    <w:p w:rsidR="00DA041E" w:rsidRPr="001E0966" w:rsidRDefault="00DA041E" w:rsidP="007E5CBD">
      <w:pPr>
        <w:shd w:val="clear" w:color="auto" w:fill="FFFFFF"/>
        <w:spacing w:after="0" w:line="240" w:lineRule="auto"/>
        <w:jc w:val="both"/>
        <w:rPr>
          <w:rFonts w:ascii="Helvetica" w:eastAsia="Times New Roman" w:hAnsi="Helvetica" w:cs="Helvetica"/>
        </w:rPr>
      </w:pPr>
    </w:p>
    <w:p w:rsidR="00FE7129" w:rsidRDefault="00FE7129" w:rsidP="007E5CBD">
      <w:pPr>
        <w:shd w:val="clear" w:color="auto" w:fill="FFFFFF"/>
        <w:spacing w:after="0" w:line="240" w:lineRule="auto"/>
        <w:jc w:val="both"/>
        <w:rPr>
          <w:rFonts w:ascii="Helvetica" w:eastAsia="Times New Roman" w:hAnsi="Helvetica" w:cs="Helvetica"/>
        </w:rPr>
      </w:pPr>
      <w:r w:rsidRPr="001E0966">
        <w:rPr>
          <w:rFonts w:ascii="Helvetica" w:eastAsia="Times New Roman" w:hAnsi="Helvetica" w:cs="Helvetica"/>
        </w:rPr>
        <w:t>In addition to this, we have also prepared the following for you:</w:t>
      </w:r>
    </w:p>
    <w:p w:rsidR="00DA041E" w:rsidRPr="001E0966" w:rsidRDefault="00DA041E" w:rsidP="007E5CBD">
      <w:pPr>
        <w:shd w:val="clear" w:color="auto" w:fill="FFFFFF"/>
        <w:spacing w:after="0" w:line="240" w:lineRule="auto"/>
        <w:jc w:val="both"/>
        <w:rPr>
          <w:rFonts w:ascii="Helvetica" w:eastAsia="Times New Roman" w:hAnsi="Helvetica" w:cs="Helvetica"/>
        </w:rPr>
      </w:pPr>
    </w:p>
    <w:p w:rsidR="00FE7129" w:rsidRPr="00DA041E" w:rsidRDefault="00FE7129" w:rsidP="007E5CBD">
      <w:pPr>
        <w:pStyle w:val="ListParagraph"/>
        <w:numPr>
          <w:ilvl w:val="0"/>
          <w:numId w:val="7"/>
        </w:numPr>
        <w:shd w:val="clear" w:color="auto" w:fill="FFFFFF"/>
        <w:spacing w:after="0" w:line="240" w:lineRule="auto"/>
        <w:ind w:left="0"/>
        <w:jc w:val="both"/>
        <w:rPr>
          <w:rFonts w:ascii="Helvetica" w:eastAsia="Times New Roman" w:hAnsi="Helvetica" w:cs="Helvetica"/>
        </w:rPr>
      </w:pPr>
      <w:r w:rsidRPr="00DA041E">
        <w:rPr>
          <w:rFonts w:ascii="Helvetica" w:eastAsia="Times New Roman" w:hAnsi="Helvetica" w:cs="Helvetica"/>
        </w:rPr>
        <w:t>Inflation report and outlook for 2014. The purpose of the inflation report is to help your investment decisions, having regard to the likely direction of inflation over the next 12 months.</w:t>
      </w:r>
    </w:p>
    <w:p w:rsidR="00DA041E" w:rsidRPr="001E0966" w:rsidRDefault="00DA041E" w:rsidP="007E5CBD">
      <w:pPr>
        <w:shd w:val="clear" w:color="auto" w:fill="FFFFFF"/>
        <w:spacing w:after="0" w:line="240" w:lineRule="auto"/>
        <w:jc w:val="both"/>
        <w:rPr>
          <w:rFonts w:ascii="Helvetica" w:eastAsia="Times New Roman" w:hAnsi="Helvetica" w:cs="Helvetica"/>
        </w:rPr>
      </w:pPr>
    </w:p>
    <w:p w:rsidR="00FE7129" w:rsidRPr="00DA041E" w:rsidRDefault="00364423" w:rsidP="007E5CBD">
      <w:pPr>
        <w:pStyle w:val="ListParagraph"/>
        <w:numPr>
          <w:ilvl w:val="0"/>
          <w:numId w:val="7"/>
        </w:numPr>
        <w:shd w:val="clear" w:color="auto" w:fill="FFFFFF"/>
        <w:spacing w:after="0" w:line="240" w:lineRule="auto"/>
        <w:ind w:left="0"/>
        <w:jc w:val="both"/>
        <w:rPr>
          <w:rFonts w:ascii="Helvetica" w:eastAsia="Times New Roman" w:hAnsi="Helvetica" w:cs="Helvetica"/>
        </w:rPr>
      </w:pPr>
      <w:r w:rsidRPr="00DA041E">
        <w:rPr>
          <w:rFonts w:ascii="Helvetica" w:eastAsia="Times New Roman" w:hAnsi="Helvetica" w:cs="Helvetica"/>
        </w:rPr>
        <w:t xml:space="preserve">Economic </w:t>
      </w:r>
      <w:r w:rsidR="00FE7129" w:rsidRPr="00DA041E">
        <w:rPr>
          <w:rFonts w:ascii="Helvetica" w:eastAsia="Times New Roman" w:hAnsi="Helvetica" w:cs="Helvetica"/>
        </w:rPr>
        <w:t>and markets report. This summarises in what markets returns are being made, and the likely return on certain asset classes, such as property and equities for the next 12 months.</w:t>
      </w:r>
    </w:p>
    <w:p w:rsidR="00DA041E" w:rsidRPr="001E0966" w:rsidRDefault="00DA041E" w:rsidP="007E5CBD">
      <w:pPr>
        <w:shd w:val="clear" w:color="auto" w:fill="FFFFFF"/>
        <w:spacing w:after="0" w:line="240" w:lineRule="auto"/>
        <w:jc w:val="both"/>
        <w:rPr>
          <w:rFonts w:ascii="Helvetica" w:eastAsia="Times New Roman" w:hAnsi="Helvetica" w:cs="Helvetica"/>
        </w:rPr>
      </w:pPr>
    </w:p>
    <w:p w:rsidR="00FE7129" w:rsidRPr="00DA041E" w:rsidRDefault="00364423" w:rsidP="007E5CBD">
      <w:pPr>
        <w:pStyle w:val="ListParagraph"/>
        <w:numPr>
          <w:ilvl w:val="0"/>
          <w:numId w:val="7"/>
        </w:numPr>
        <w:shd w:val="clear" w:color="auto" w:fill="FFFFFF"/>
        <w:spacing w:after="0" w:line="240" w:lineRule="auto"/>
        <w:ind w:left="0"/>
        <w:jc w:val="both"/>
        <w:rPr>
          <w:rFonts w:ascii="Helvetica" w:eastAsia="Times New Roman" w:hAnsi="Helvetica" w:cs="Helvetica"/>
        </w:rPr>
      </w:pPr>
      <w:r w:rsidRPr="00DA041E">
        <w:rPr>
          <w:rFonts w:ascii="Helvetica" w:eastAsia="Times New Roman" w:hAnsi="Helvetica" w:cs="Helvetica"/>
        </w:rPr>
        <w:t xml:space="preserve">A </w:t>
      </w:r>
      <w:r w:rsidR="00FE7129" w:rsidRPr="00DA041E">
        <w:rPr>
          <w:rFonts w:ascii="Helvetica" w:eastAsia="Times New Roman" w:hAnsi="Helvetica" w:cs="Helvetica"/>
        </w:rPr>
        <w:t>recent news</w:t>
      </w:r>
      <w:r w:rsidRPr="00DA041E">
        <w:rPr>
          <w:rFonts w:ascii="Helvetica" w:eastAsia="Times New Roman" w:hAnsi="Helvetica" w:cs="Helvetica"/>
        </w:rPr>
        <w:t xml:space="preserve"> update</w:t>
      </w:r>
      <w:r w:rsidR="00FE7129" w:rsidRPr="00DA041E">
        <w:rPr>
          <w:rFonts w:ascii="Helvetica" w:eastAsia="Times New Roman" w:hAnsi="Helvetica" w:cs="Helvetica"/>
        </w:rPr>
        <w:t xml:space="preserve"> in the pensions industry. The pensions industry is constantly changing and we have summarised the key issues and how you may be affected.</w:t>
      </w:r>
    </w:p>
    <w:p w:rsidR="00DA041E" w:rsidRPr="001E0966" w:rsidRDefault="00DA041E" w:rsidP="007E5CBD">
      <w:pPr>
        <w:shd w:val="clear" w:color="auto" w:fill="FFFFFF"/>
        <w:spacing w:after="0" w:line="240" w:lineRule="auto"/>
        <w:jc w:val="both"/>
        <w:rPr>
          <w:rFonts w:ascii="Helvetica" w:eastAsia="Times New Roman" w:hAnsi="Helvetica" w:cs="Helvetica"/>
        </w:rPr>
      </w:pPr>
    </w:p>
    <w:p w:rsidR="00FE7129" w:rsidRPr="00DA041E" w:rsidRDefault="00736104" w:rsidP="007E5CBD">
      <w:pPr>
        <w:pStyle w:val="ListParagraph"/>
        <w:numPr>
          <w:ilvl w:val="0"/>
          <w:numId w:val="7"/>
        </w:numPr>
        <w:shd w:val="clear" w:color="auto" w:fill="FFFFFF"/>
        <w:spacing w:after="0" w:line="240" w:lineRule="auto"/>
        <w:ind w:left="0"/>
        <w:jc w:val="both"/>
        <w:rPr>
          <w:rFonts w:ascii="Helvetica" w:eastAsia="Times New Roman" w:hAnsi="Helvetica" w:cs="Helvetica"/>
        </w:rPr>
      </w:pPr>
      <w:r w:rsidRPr="00DA041E">
        <w:rPr>
          <w:rFonts w:ascii="Helvetica" w:eastAsia="Times New Roman" w:hAnsi="Helvetica" w:cs="Helvetica"/>
        </w:rPr>
        <w:t>If you require a Benefit Statement please request this from us and we will provide you with an updated Statement.</w:t>
      </w:r>
    </w:p>
    <w:p w:rsidR="00853209" w:rsidRDefault="00853209" w:rsidP="007E5CBD">
      <w:pPr>
        <w:jc w:val="both"/>
        <w:rPr>
          <w:rFonts w:ascii="Helvetica" w:hAnsi="Helvetica" w:cs="Helvetica"/>
        </w:rPr>
      </w:pPr>
    </w:p>
    <w:p w:rsidR="00FE7129" w:rsidRDefault="00FE7129" w:rsidP="007E5CBD">
      <w:pPr>
        <w:shd w:val="clear" w:color="auto" w:fill="FFFFFF"/>
        <w:spacing w:after="0" w:line="240" w:lineRule="auto"/>
        <w:jc w:val="both"/>
        <w:rPr>
          <w:rFonts w:ascii="Helvetica" w:eastAsia="Times New Roman" w:hAnsi="Helvetica" w:cs="Helvetica"/>
        </w:rPr>
      </w:pPr>
      <w:r w:rsidRPr="001E0966">
        <w:rPr>
          <w:rFonts w:ascii="Helvetica" w:eastAsia="Times New Roman" w:hAnsi="Helvetica" w:cs="Helvetica"/>
        </w:rPr>
        <w:t>Our role is to ensure that the tax privileges for your pension scheme are maintained. In addition, we seek to add value by providing you with information so that in conjunction with you</w:t>
      </w:r>
      <w:r w:rsidR="00F005AE" w:rsidRPr="001E0966">
        <w:rPr>
          <w:rFonts w:ascii="Helvetica" w:eastAsia="Times New Roman" w:hAnsi="Helvetica" w:cs="Helvetica"/>
        </w:rPr>
        <w:t>r</w:t>
      </w:r>
      <w:r w:rsidRPr="001E0966">
        <w:rPr>
          <w:rFonts w:ascii="Helvetica" w:eastAsia="Times New Roman" w:hAnsi="Helvetica" w:cs="Helvetica"/>
        </w:rPr>
        <w:t xml:space="preserve"> investment advisor you maximise the growth of your pension fund, in a tax efficient way for you and your business. </w:t>
      </w:r>
    </w:p>
    <w:p w:rsidR="00DA041E" w:rsidRPr="001E0966" w:rsidRDefault="00DA041E" w:rsidP="007E5CBD">
      <w:pPr>
        <w:shd w:val="clear" w:color="auto" w:fill="FFFFFF"/>
        <w:spacing w:after="0" w:line="240" w:lineRule="auto"/>
        <w:jc w:val="both"/>
        <w:rPr>
          <w:rFonts w:ascii="Helvetica" w:eastAsia="Times New Roman" w:hAnsi="Helvetica" w:cs="Helvetica"/>
        </w:rPr>
      </w:pPr>
    </w:p>
    <w:p w:rsidR="005A354C" w:rsidRPr="001E0966" w:rsidRDefault="005A354C" w:rsidP="007E5CBD">
      <w:pPr>
        <w:shd w:val="clear" w:color="auto" w:fill="FFFFFF"/>
        <w:spacing w:after="0" w:line="240" w:lineRule="auto"/>
        <w:jc w:val="both"/>
        <w:rPr>
          <w:rFonts w:ascii="Helvetica" w:eastAsia="Times New Roman" w:hAnsi="Helvetica" w:cs="Helvetica"/>
        </w:rPr>
      </w:pPr>
      <w:r w:rsidRPr="001E0966">
        <w:rPr>
          <w:rFonts w:ascii="Helvetica" w:eastAsia="Times New Roman" w:hAnsi="Helvetica" w:cs="Helvetica"/>
        </w:rPr>
        <w:t>Finally, thank you for choosing us to act as the Practitioner for your pension scheme.</w:t>
      </w:r>
    </w:p>
    <w:p w:rsidR="003227BF" w:rsidRPr="006E07BA" w:rsidRDefault="006E07BA" w:rsidP="007E5CBD">
      <w:pPr>
        <w:spacing w:after="0" w:line="240" w:lineRule="auto"/>
        <w:rPr>
          <w:rStyle w:val="BlueCompany"/>
          <w:rFonts w:ascii="Helvetica Light" w:hAnsi="Helvetica Light"/>
          <w:b w:val="0"/>
          <w:color w:val="auto"/>
          <w:sz w:val="22"/>
          <w:szCs w:val="22"/>
        </w:rPr>
      </w:pPr>
      <w:r>
        <w:rPr>
          <w:rFonts w:ascii="Helvetica Light" w:hAnsi="Helvetica Light"/>
        </w:rPr>
        <w:br w:type="page"/>
      </w:r>
    </w:p>
    <w:p w:rsidR="00227EA8" w:rsidRDefault="00227EA8" w:rsidP="007E5CBD">
      <w:pPr>
        <w:pStyle w:val="Headings"/>
        <w:rPr>
          <w:rStyle w:val="BlueCompany"/>
          <w:b/>
          <w:sz w:val="48"/>
        </w:rPr>
      </w:pPr>
      <w:r>
        <w:rPr>
          <w:rStyle w:val="BlueCompany"/>
          <w:b/>
          <w:color w:val="808080" w:themeColor="background1" w:themeShade="80"/>
          <w:sz w:val="48"/>
        </w:rPr>
        <w:lastRenderedPageBreak/>
        <w:t>2</w:t>
      </w:r>
      <w:r w:rsidR="00FE7129">
        <w:rPr>
          <w:rStyle w:val="BlueCompany"/>
          <w:b/>
          <w:color w:val="808080" w:themeColor="background1" w:themeShade="80"/>
          <w:sz w:val="48"/>
        </w:rPr>
        <w:t>.</w:t>
      </w:r>
      <w:r>
        <w:rPr>
          <w:rStyle w:val="BlueCompany"/>
          <w:b/>
          <w:sz w:val="48"/>
        </w:rPr>
        <w:t xml:space="preserve"> Pension Scheme Return</w:t>
      </w:r>
    </w:p>
    <w:p w:rsidR="00DA7B0D" w:rsidRPr="00DA7B0D" w:rsidRDefault="00DA7B0D" w:rsidP="00DA7B0D">
      <w:pPr>
        <w:shd w:val="clear" w:color="auto" w:fill="FFFFFF"/>
        <w:spacing w:after="0" w:line="235" w:lineRule="atLeast"/>
        <w:rPr>
          <w:rFonts w:asciiTheme="majorHAnsi" w:eastAsia="Times New Roman" w:hAnsiTheme="majorHAnsi"/>
          <w:b/>
          <w:bCs/>
          <w:color w:val="009966"/>
          <w:lang w:eastAsia="en-GB"/>
        </w:rPr>
      </w:pPr>
      <w:r w:rsidRPr="00DA7B0D">
        <w:rPr>
          <w:rFonts w:asciiTheme="majorHAnsi" w:eastAsia="Times New Roman" w:hAnsiTheme="majorHAnsi"/>
          <w:b/>
          <w:bCs/>
          <w:color w:val="009966"/>
          <w:lang w:eastAsia="en-GB"/>
        </w:rPr>
        <w:t>Details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DA7B0D" w:rsidRPr="00DA7B0D" w:rsidTr="00DA7B0D">
        <w:trPr>
          <w:tblCellSpacing w:w="15" w:type="dxa"/>
        </w:trPr>
        <w:tc>
          <w:tcPr>
            <w:tcW w:w="250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Pension Scheme Tax Reference</w:t>
            </w:r>
          </w:p>
        </w:tc>
        <w:tc>
          <w:tcPr>
            <w:tcW w:w="25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00071696RT</w:t>
            </w:r>
          </w:p>
        </w:tc>
      </w:tr>
      <w:tr w:rsidR="00DA7B0D" w:rsidRPr="00DA7B0D" w:rsidTr="00DA7B0D">
        <w:trPr>
          <w:tblCellSpacing w:w="15" w:type="dxa"/>
        </w:trPr>
        <w:tc>
          <w:tcPr>
            <w:tcW w:w="0" w:type="auto"/>
            <w:shd w:val="clear" w:color="auto" w:fill="FFFFFF"/>
            <w:tcMar>
              <w:top w:w="45" w:type="dxa"/>
              <w:left w:w="45" w:type="dxa"/>
              <w:bottom w:w="45" w:type="dxa"/>
              <w:right w:w="45" w:type="dxa"/>
            </w:tcMa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Pension Scheme Name</w:t>
            </w: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hideMark/>
          </w:tcPr>
          <w:p w:rsid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 xml:space="preserve">Hammerhead TV </w:t>
            </w:r>
          </w:p>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Pension Scheme No 1</w:t>
            </w:r>
          </w:p>
        </w:tc>
      </w:tr>
      <w:tr w:rsidR="00DA7B0D" w:rsidRPr="00DA7B0D" w:rsidTr="00DA7B0D">
        <w:trPr>
          <w:tblCellSpacing w:w="15" w:type="dxa"/>
        </w:trPr>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Is the scheme an Occupational scheme?</w:t>
            </w: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Yes</w:t>
            </w:r>
          </w:p>
        </w:tc>
      </w:tr>
      <w:tr w:rsidR="00DA7B0D" w:rsidRPr="00DA7B0D" w:rsidTr="00DA7B0D">
        <w:trPr>
          <w:tblCellSpacing w:w="15" w:type="dxa"/>
        </w:trPr>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Tax Year ended</w:t>
            </w: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05 Apr 2013</w:t>
            </w:r>
          </w:p>
        </w:tc>
      </w:tr>
      <w:tr w:rsidR="00DA7B0D" w:rsidRPr="00DA7B0D" w:rsidTr="00DA7B0D">
        <w:trPr>
          <w:tblCellSpacing w:w="15" w:type="dxa"/>
        </w:trPr>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Date submitted</w:t>
            </w: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30 Oct 2013</w:t>
            </w:r>
          </w:p>
        </w:tc>
      </w:tr>
      <w:tr w:rsidR="00DA7B0D" w:rsidRPr="00DA7B0D" w:rsidTr="00DA7B0D">
        <w:trPr>
          <w:tblCellSpacing w:w="15" w:type="dxa"/>
        </w:trPr>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Submitted by</w:t>
            </w: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 xml:space="preserve">International Pension Partners </w:t>
            </w:r>
          </w:p>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LLP t/a Pension Practitioner .Com</w:t>
            </w:r>
          </w:p>
        </w:tc>
      </w:tr>
      <w:tr w:rsidR="00DA7B0D" w:rsidRPr="00DA7B0D" w:rsidTr="00DA7B0D">
        <w:trPr>
          <w:tblCellSpacing w:w="15" w:type="dxa"/>
        </w:trPr>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Scheme Administrator</w:t>
            </w: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Mr Nigel Alan Hoban</w:t>
            </w:r>
          </w:p>
        </w:tc>
      </w:tr>
    </w:tbl>
    <w:p w:rsidR="00DA7B0D" w:rsidRPr="00DA7B0D" w:rsidRDefault="00DA7B0D" w:rsidP="00DA7B0D">
      <w:pPr>
        <w:spacing w:after="0" w:line="240" w:lineRule="auto"/>
        <w:rPr>
          <w:rFonts w:asciiTheme="majorHAnsi" w:eastAsia="Times New Roman" w:hAnsiTheme="majorHAnsi"/>
          <w:lang w:eastAsia="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DA7B0D" w:rsidRPr="00DA7B0D" w:rsidTr="00DA7B0D">
        <w:trPr>
          <w:tblCellSpacing w:w="15" w:type="dxa"/>
        </w:trPr>
        <w:tc>
          <w:tcPr>
            <w:tcW w:w="250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Amended Return</w:t>
            </w:r>
          </w:p>
        </w:tc>
        <w:tc>
          <w:tcPr>
            <w:tcW w:w="25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No</w:t>
            </w:r>
          </w:p>
        </w:tc>
      </w:tr>
    </w:tbl>
    <w:p w:rsidR="00DA7B0D" w:rsidRPr="00DA7B0D" w:rsidRDefault="00DA7B0D" w:rsidP="00DA7B0D">
      <w:pPr>
        <w:spacing w:after="0" w:line="240" w:lineRule="auto"/>
        <w:rPr>
          <w:rFonts w:asciiTheme="majorHAnsi" w:eastAsia="Times New Roman" w:hAnsiTheme="majorHAnsi"/>
          <w:vanish/>
          <w:lang w:eastAsia="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DA7B0D" w:rsidRPr="00DA7B0D" w:rsidTr="00DA7B0D">
        <w:trPr>
          <w:tblCellSpacing w:w="15" w:type="dxa"/>
        </w:trPr>
        <w:tc>
          <w:tcPr>
            <w:tcW w:w="250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Accounting Period</w:t>
            </w:r>
          </w:p>
        </w:tc>
        <w:tc>
          <w:tcPr>
            <w:tcW w:w="25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06 Apr 2012 - 05 Apr 2013</w:t>
            </w:r>
          </w:p>
        </w:tc>
      </w:tr>
    </w:tbl>
    <w:p w:rsidR="00DA7B0D" w:rsidRPr="00DA7B0D" w:rsidRDefault="00DA7B0D" w:rsidP="00DA7B0D">
      <w:pPr>
        <w:spacing w:after="0" w:line="240" w:lineRule="auto"/>
        <w:rPr>
          <w:rFonts w:asciiTheme="majorHAnsi" w:eastAsia="Times New Roman" w:hAnsiTheme="majorHAnsi"/>
          <w:lang w:eastAsia="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DA7B0D" w:rsidRPr="00DA7B0D" w:rsidTr="00DA7B0D">
        <w:trPr>
          <w:tblCellSpacing w:w="15" w:type="dxa"/>
        </w:trPr>
        <w:tc>
          <w:tcPr>
            <w:tcW w:w="2500" w:type="pct"/>
            <w:shd w:val="clear" w:color="auto" w:fill="FFFFFF"/>
            <w:tcMar>
              <w:top w:w="45" w:type="dxa"/>
              <w:left w:w="45" w:type="dxa"/>
              <w:bottom w:w="45" w:type="dxa"/>
              <w:right w:w="45" w:type="dxa"/>
            </w:tcMa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No</w:t>
            </w:r>
          </w:p>
        </w:tc>
      </w:tr>
      <w:tr w:rsidR="00DA7B0D" w:rsidRPr="00DA7B0D" w:rsidTr="00DA7B0D">
        <w:trPr>
          <w:tblCellSpacing w:w="15" w:type="dxa"/>
        </w:trPr>
        <w:tc>
          <w:tcPr>
            <w:tcW w:w="250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£50000</w:t>
            </w:r>
          </w:p>
        </w:tc>
      </w:tr>
    </w:tbl>
    <w:p w:rsidR="00DA7B0D" w:rsidRPr="00DA7B0D" w:rsidRDefault="00DA7B0D" w:rsidP="00DA7B0D">
      <w:pPr>
        <w:spacing w:after="0" w:line="240" w:lineRule="auto"/>
        <w:rPr>
          <w:rFonts w:asciiTheme="majorHAnsi" w:eastAsia="Times New Roman" w:hAnsiTheme="majorHAnsi"/>
          <w:vanish/>
          <w:lang w:eastAsia="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DA7B0D" w:rsidRPr="00DA7B0D" w:rsidTr="00DA7B0D">
        <w:trPr>
          <w:tblCellSpacing w:w="15" w:type="dxa"/>
        </w:trPr>
        <w:tc>
          <w:tcPr>
            <w:tcW w:w="2500" w:type="pct"/>
            <w:shd w:val="clear" w:color="auto" w:fill="FFFFFF"/>
            <w:tcMar>
              <w:top w:w="45" w:type="dxa"/>
              <w:left w:w="45" w:type="dxa"/>
              <w:bottom w:w="45" w:type="dxa"/>
              <w:right w:w="45" w:type="dxa"/>
            </w:tcMa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Yes</w:t>
            </w:r>
          </w:p>
        </w:tc>
      </w:tr>
    </w:tbl>
    <w:p w:rsidR="00DA7B0D" w:rsidRPr="00DA7B0D" w:rsidRDefault="00DA7B0D" w:rsidP="00DA7B0D">
      <w:pPr>
        <w:spacing w:after="0" w:line="240" w:lineRule="auto"/>
        <w:rPr>
          <w:rFonts w:asciiTheme="majorHAnsi" w:eastAsia="Times New Roman" w:hAnsiTheme="majorHAnsi"/>
          <w:lang w:eastAsia="en-GB"/>
        </w:rPr>
      </w:pPr>
    </w:p>
    <w:p w:rsidR="00DA7B0D" w:rsidRPr="00DA7B0D" w:rsidRDefault="00DA7B0D" w:rsidP="00DA7B0D">
      <w:pPr>
        <w:shd w:val="clear" w:color="auto" w:fill="FFFFFF"/>
        <w:spacing w:after="0" w:line="235" w:lineRule="atLeast"/>
        <w:rPr>
          <w:rFonts w:asciiTheme="majorHAnsi" w:eastAsia="Times New Roman" w:hAnsiTheme="majorHAnsi"/>
          <w:b/>
          <w:bCs/>
          <w:color w:val="009966"/>
          <w:lang w:eastAsia="en-GB"/>
        </w:rPr>
      </w:pPr>
      <w:r w:rsidRPr="00DA7B0D">
        <w:rPr>
          <w:rFonts w:asciiTheme="majorHAnsi" w:eastAsia="Times New Roman" w:hAnsiTheme="majorHAnsi"/>
          <w:b/>
          <w:bCs/>
          <w:color w:val="009966"/>
          <w:lang w:eastAsia="en-GB"/>
        </w:rPr>
        <w:t>Connected Parties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DA7B0D" w:rsidRPr="00DA7B0D" w:rsidTr="00DA7B0D">
        <w:trPr>
          <w:tblCellSpacing w:w="15" w:type="dxa"/>
        </w:trPr>
        <w:tc>
          <w:tcPr>
            <w:tcW w:w="250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At any time during the period from 06/04/2012 to 05/04/2013 did the scheme either directly or indirectly own assets that it had acquired from either:</w:t>
            </w:r>
            <w:r w:rsidRPr="00DA7B0D">
              <w:rPr>
                <w:rFonts w:asciiTheme="majorHAnsi" w:eastAsia="Times New Roman" w:hAnsiTheme="majorHAnsi"/>
                <w:lang w:eastAsia="en-GB"/>
              </w:rPr>
              <w:br/>
              <w:t>a. a sponsoring employer or any person connected with that employer?</w:t>
            </w:r>
            <w:r w:rsidRPr="00DA7B0D">
              <w:rPr>
                <w:rFonts w:asciiTheme="majorHAnsi" w:eastAsia="Times New Roman" w:hAnsiTheme="majorHAnsi"/>
                <w:lang w:eastAsia="en-GB"/>
              </w:rPr>
              <w:br/>
            </w:r>
            <w:proofErr w:type="gramStart"/>
            <w:r w:rsidRPr="00DA7B0D">
              <w:rPr>
                <w:rFonts w:asciiTheme="majorHAnsi" w:eastAsia="Times New Roman" w:hAnsiTheme="majorHAnsi"/>
                <w:i/>
                <w:iCs/>
                <w:lang w:eastAsia="en-GB"/>
              </w:rPr>
              <w:t>or</w:t>
            </w:r>
            <w:proofErr w:type="gramEnd"/>
            <w:r w:rsidRPr="00DA7B0D">
              <w:rPr>
                <w:rFonts w:asciiTheme="majorHAnsi" w:eastAsia="Times New Roman" w:hAnsiTheme="majorHAnsi"/>
                <w:lang w:eastAsia="en-GB"/>
              </w:rPr>
              <w:br/>
              <w:t>b. a person who was a director of or a person connected to a director of a close company that was also a sponsoring employer?</w:t>
            </w:r>
            <w:r w:rsidRPr="00DA7B0D">
              <w:rPr>
                <w:rFonts w:asciiTheme="majorHAnsi" w:eastAsia="Times New Roman" w:hAnsiTheme="majorHAnsi"/>
                <w:lang w:eastAsia="en-GB"/>
              </w:rPr>
              <w:br/>
            </w:r>
            <w:proofErr w:type="gramStart"/>
            <w:r w:rsidRPr="00DA7B0D">
              <w:rPr>
                <w:rFonts w:asciiTheme="majorHAnsi" w:eastAsia="Times New Roman" w:hAnsiTheme="majorHAnsi"/>
                <w:i/>
                <w:iCs/>
                <w:lang w:eastAsia="en-GB"/>
              </w:rPr>
              <w:t>or</w:t>
            </w:r>
            <w:proofErr w:type="gramEnd"/>
            <w:r w:rsidRPr="00DA7B0D">
              <w:rPr>
                <w:rFonts w:asciiTheme="majorHAnsi" w:eastAsia="Times New Roman" w:hAnsiTheme="majorHAnsi"/>
                <w:lang w:eastAsia="en-GB"/>
              </w:rPr>
              <w:br/>
              <w:t>c. a person who was either a sole owner or partner or a person connected with the sole owner or partner of a business which was a sponsoring employer?</w:t>
            </w:r>
            <w:r w:rsidRPr="00DA7B0D">
              <w:rPr>
                <w:rFonts w:asciiTheme="majorHAnsi" w:eastAsia="Times New Roman" w:hAnsiTheme="majorHAnsi"/>
                <w:lang w:eastAsia="en-GB"/>
              </w:rPr>
              <w:br/>
            </w:r>
            <w:proofErr w:type="gramStart"/>
            <w:r w:rsidRPr="00DA7B0D">
              <w:rPr>
                <w:rFonts w:asciiTheme="majorHAnsi" w:eastAsia="Times New Roman" w:hAnsiTheme="majorHAnsi"/>
                <w:i/>
                <w:iCs/>
                <w:lang w:eastAsia="en-GB"/>
              </w:rPr>
              <w:t>or</w:t>
            </w:r>
            <w:proofErr w:type="gramEnd"/>
            <w:r w:rsidRPr="00DA7B0D">
              <w:rPr>
                <w:rFonts w:asciiTheme="majorHAnsi" w:eastAsia="Times New Roman" w:hAnsiTheme="majorHAnsi"/>
                <w:lang w:eastAsia="en-GB"/>
              </w:rPr>
              <w:br/>
              <w:t>d. a member or person connected with a member?</w:t>
            </w:r>
          </w:p>
        </w:tc>
        <w:tc>
          <w:tcPr>
            <w:tcW w:w="250" w:type="pct"/>
            <w:shd w:val="clear" w:color="auto" w:fill="FFFFFF"/>
            <w:tcMar>
              <w:top w:w="45" w:type="dxa"/>
              <w:left w:w="45" w:type="dxa"/>
              <w:bottom w:w="45" w:type="dxa"/>
              <w:right w:w="45" w:type="dxa"/>
            </w:tcMa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Yes</w:t>
            </w:r>
          </w:p>
        </w:tc>
      </w:tr>
    </w:tbl>
    <w:p w:rsidR="00DA7B0D" w:rsidRPr="00DA7B0D" w:rsidRDefault="00DA7B0D" w:rsidP="00DA7B0D">
      <w:pPr>
        <w:spacing w:after="0" w:line="240" w:lineRule="auto"/>
        <w:rPr>
          <w:rFonts w:asciiTheme="majorHAnsi" w:eastAsia="Times New Roman" w:hAnsiTheme="majorHAnsi"/>
          <w:lang w:eastAsia="en-GB"/>
        </w:rPr>
      </w:pPr>
    </w:p>
    <w:p w:rsidR="00DA7B0D" w:rsidRDefault="00DA7B0D" w:rsidP="00DA7B0D">
      <w:pPr>
        <w:shd w:val="clear" w:color="auto" w:fill="FFFFFF"/>
        <w:spacing w:after="0" w:line="235" w:lineRule="atLeast"/>
        <w:rPr>
          <w:rFonts w:asciiTheme="majorHAnsi" w:eastAsia="Times New Roman" w:hAnsiTheme="majorHAnsi"/>
          <w:b/>
          <w:bCs/>
          <w:color w:val="009966"/>
          <w:lang w:eastAsia="en-GB"/>
        </w:rPr>
      </w:pPr>
    </w:p>
    <w:p w:rsidR="00DA7B0D" w:rsidRDefault="00DA7B0D" w:rsidP="00DA7B0D">
      <w:pPr>
        <w:shd w:val="clear" w:color="auto" w:fill="FFFFFF"/>
        <w:spacing w:after="0" w:line="235" w:lineRule="atLeast"/>
        <w:rPr>
          <w:rFonts w:asciiTheme="majorHAnsi" w:eastAsia="Times New Roman" w:hAnsiTheme="majorHAnsi"/>
          <w:b/>
          <w:bCs/>
          <w:color w:val="009966"/>
          <w:lang w:eastAsia="en-GB"/>
        </w:rPr>
      </w:pPr>
    </w:p>
    <w:p w:rsidR="00DA7B0D" w:rsidRDefault="00DA7B0D" w:rsidP="00DA7B0D">
      <w:pPr>
        <w:shd w:val="clear" w:color="auto" w:fill="FFFFFF"/>
        <w:spacing w:after="0" w:line="235" w:lineRule="atLeast"/>
        <w:rPr>
          <w:rFonts w:asciiTheme="majorHAnsi" w:eastAsia="Times New Roman" w:hAnsiTheme="majorHAnsi"/>
          <w:b/>
          <w:bCs/>
          <w:color w:val="009966"/>
          <w:lang w:eastAsia="en-GB"/>
        </w:rPr>
      </w:pPr>
    </w:p>
    <w:p w:rsidR="00DA7B0D" w:rsidRPr="00DA7B0D" w:rsidRDefault="00DA7B0D" w:rsidP="00DA7B0D">
      <w:pPr>
        <w:shd w:val="clear" w:color="auto" w:fill="FFFFFF"/>
        <w:spacing w:after="0" w:line="235" w:lineRule="atLeast"/>
        <w:rPr>
          <w:rFonts w:asciiTheme="majorHAnsi" w:eastAsia="Times New Roman" w:hAnsiTheme="majorHAnsi"/>
          <w:b/>
          <w:bCs/>
          <w:color w:val="009966"/>
          <w:lang w:eastAsia="en-GB"/>
        </w:rPr>
      </w:pPr>
      <w:r w:rsidRPr="00DA7B0D">
        <w:rPr>
          <w:rFonts w:asciiTheme="majorHAnsi" w:eastAsia="Times New Roman" w:hAnsiTheme="majorHAnsi"/>
          <w:b/>
          <w:bCs/>
          <w:color w:val="009966"/>
          <w:lang w:eastAsia="en-GB"/>
        </w:rPr>
        <w:lastRenderedPageBreak/>
        <w:t>Outstanding Loans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DA7B0D" w:rsidRPr="00DA7B0D" w:rsidTr="00DA7B0D">
        <w:trPr>
          <w:tblCellSpacing w:w="15" w:type="dxa"/>
        </w:trPr>
        <w:tc>
          <w:tcPr>
            <w:tcW w:w="250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Total amount outstanding at the end of the period</w:t>
            </w:r>
          </w:p>
        </w:tc>
        <w:tc>
          <w:tcPr>
            <w:tcW w:w="25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£0</w:t>
            </w:r>
          </w:p>
        </w:tc>
      </w:tr>
      <w:tr w:rsidR="00DA7B0D" w:rsidRPr="00DA7B0D" w:rsidTr="00DA7B0D">
        <w:trPr>
          <w:tblCellSpacing w:w="15" w:type="dxa"/>
        </w:trPr>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Total amount of any loans made</w:t>
            </w: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£0</w:t>
            </w:r>
          </w:p>
        </w:tc>
      </w:tr>
      <w:tr w:rsidR="00DA7B0D" w:rsidRPr="00DA7B0D" w:rsidTr="00DA7B0D">
        <w:trPr>
          <w:tblCellSpacing w:w="15" w:type="dxa"/>
        </w:trPr>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Total amount of any loans repaid</w:t>
            </w: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£2710</w:t>
            </w:r>
          </w:p>
        </w:tc>
      </w:tr>
      <w:tr w:rsidR="00DA7B0D" w:rsidRPr="00DA7B0D" w:rsidTr="00DA7B0D">
        <w:trPr>
          <w:tblCellSpacing w:w="15" w:type="dxa"/>
        </w:trPr>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Total amount of interest received</w:t>
            </w: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£0</w:t>
            </w:r>
          </w:p>
        </w:tc>
      </w:tr>
    </w:tbl>
    <w:p w:rsidR="00DA7B0D" w:rsidRPr="00DA7B0D" w:rsidRDefault="00DA7B0D" w:rsidP="00DA7B0D">
      <w:pPr>
        <w:spacing w:after="0" w:line="240" w:lineRule="auto"/>
        <w:rPr>
          <w:rFonts w:asciiTheme="majorHAnsi" w:eastAsia="Times New Roman" w:hAnsiTheme="majorHAnsi"/>
          <w:lang w:eastAsia="en-GB"/>
        </w:rPr>
      </w:pPr>
    </w:p>
    <w:p w:rsidR="00DA7B0D" w:rsidRDefault="00DA7B0D" w:rsidP="00DA7B0D">
      <w:pPr>
        <w:shd w:val="clear" w:color="auto" w:fill="FFFFFF"/>
        <w:spacing w:after="0" w:line="235" w:lineRule="atLeast"/>
        <w:rPr>
          <w:rFonts w:asciiTheme="majorHAnsi" w:eastAsia="Times New Roman" w:hAnsiTheme="majorHAnsi"/>
          <w:b/>
          <w:bCs/>
          <w:color w:val="009966"/>
          <w:lang w:eastAsia="en-GB"/>
        </w:rPr>
      </w:pPr>
    </w:p>
    <w:p w:rsidR="00DA7B0D" w:rsidRPr="00DA7B0D" w:rsidRDefault="00DA7B0D" w:rsidP="00DA7B0D">
      <w:pPr>
        <w:shd w:val="clear" w:color="auto" w:fill="FFFFFF"/>
        <w:spacing w:after="0" w:line="235" w:lineRule="atLeast"/>
        <w:rPr>
          <w:rFonts w:asciiTheme="majorHAnsi" w:eastAsia="Times New Roman" w:hAnsiTheme="majorHAnsi"/>
          <w:b/>
          <w:bCs/>
          <w:color w:val="009966"/>
          <w:lang w:eastAsia="en-GB"/>
        </w:rPr>
      </w:pPr>
      <w:bookmarkStart w:id="0" w:name="_GoBack"/>
      <w:bookmarkEnd w:id="0"/>
      <w:r w:rsidRPr="00DA7B0D">
        <w:rPr>
          <w:rFonts w:asciiTheme="majorHAnsi" w:eastAsia="Times New Roman" w:hAnsiTheme="majorHAnsi"/>
          <w:b/>
          <w:bCs/>
          <w:color w:val="009966"/>
          <w:lang w:eastAsia="en-GB"/>
        </w:rPr>
        <w:t>Cash and Bank Information</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DA7B0D" w:rsidRPr="00DA7B0D" w:rsidTr="00DA7B0D">
        <w:trPr>
          <w:tblCellSpacing w:w="15" w:type="dxa"/>
        </w:trPr>
        <w:tc>
          <w:tcPr>
            <w:tcW w:w="250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£70</w:t>
            </w:r>
          </w:p>
        </w:tc>
      </w:tr>
      <w:tr w:rsidR="00DA7B0D" w:rsidRPr="00DA7B0D" w:rsidTr="00DA7B0D">
        <w:trPr>
          <w:tblCellSpacing w:w="15" w:type="dxa"/>
        </w:trPr>
        <w:tc>
          <w:tcPr>
            <w:tcW w:w="250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£262</w:t>
            </w:r>
          </w:p>
        </w:tc>
      </w:tr>
      <w:tr w:rsidR="00DA7B0D" w:rsidRPr="00DA7B0D" w:rsidTr="00DA7B0D">
        <w:trPr>
          <w:tblCellSpacing w:w="15" w:type="dxa"/>
        </w:trPr>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Total amount of interest credited to these accounts</w:t>
            </w: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£0</w:t>
            </w:r>
          </w:p>
        </w:tc>
      </w:tr>
    </w:tbl>
    <w:p w:rsidR="00DA7B0D" w:rsidRPr="00DA7B0D" w:rsidRDefault="00DA7B0D" w:rsidP="00DA7B0D">
      <w:pPr>
        <w:spacing w:after="0" w:line="240" w:lineRule="auto"/>
        <w:rPr>
          <w:rFonts w:asciiTheme="majorHAnsi" w:eastAsia="Times New Roman" w:hAnsiTheme="majorHAnsi"/>
          <w:lang w:eastAsia="en-GB"/>
        </w:rPr>
      </w:pPr>
    </w:p>
    <w:p w:rsidR="00DA7B0D" w:rsidRDefault="00DA7B0D" w:rsidP="00DA7B0D">
      <w:pPr>
        <w:shd w:val="clear" w:color="auto" w:fill="FFFFFF"/>
        <w:spacing w:after="0" w:line="235" w:lineRule="atLeast"/>
        <w:rPr>
          <w:rFonts w:asciiTheme="majorHAnsi" w:eastAsia="Times New Roman" w:hAnsiTheme="majorHAnsi"/>
          <w:b/>
          <w:bCs/>
          <w:color w:val="009966"/>
          <w:lang w:eastAsia="en-GB"/>
        </w:rPr>
      </w:pPr>
    </w:p>
    <w:p w:rsidR="00DA7B0D" w:rsidRPr="00DA7B0D" w:rsidRDefault="00DA7B0D" w:rsidP="00DA7B0D">
      <w:pPr>
        <w:shd w:val="clear" w:color="auto" w:fill="FFFFFF"/>
        <w:spacing w:after="0" w:line="235" w:lineRule="atLeast"/>
        <w:rPr>
          <w:rFonts w:asciiTheme="majorHAnsi" w:eastAsia="Times New Roman" w:hAnsiTheme="majorHAnsi"/>
          <w:b/>
          <w:bCs/>
          <w:color w:val="009966"/>
          <w:lang w:eastAsia="en-GB"/>
        </w:rPr>
      </w:pPr>
      <w:proofErr w:type="spellStart"/>
      <w:r w:rsidRPr="00DA7B0D">
        <w:rPr>
          <w:rFonts w:asciiTheme="majorHAnsi" w:eastAsia="Times New Roman" w:hAnsiTheme="majorHAnsi"/>
          <w:b/>
          <w:bCs/>
          <w:color w:val="009966"/>
          <w:lang w:eastAsia="en-GB"/>
        </w:rPr>
        <w:t>Arms Length</w:t>
      </w:r>
      <w:proofErr w:type="spellEnd"/>
      <w:r w:rsidRPr="00DA7B0D">
        <w:rPr>
          <w:rFonts w:asciiTheme="majorHAnsi" w:eastAsia="Times New Roman" w:hAnsiTheme="majorHAnsi"/>
          <w:b/>
          <w:bCs/>
          <w:color w:val="009966"/>
          <w:lang w:eastAsia="en-GB"/>
        </w:rPr>
        <w:t xml:space="preserve"> Transactions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DA7B0D" w:rsidRPr="00DA7B0D" w:rsidTr="00DA7B0D">
        <w:trPr>
          <w:tblCellSpacing w:w="15" w:type="dxa"/>
        </w:trPr>
        <w:tc>
          <w:tcPr>
            <w:tcW w:w="250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Total cost or market value of any assets owned at the end of the period</w:t>
            </w:r>
            <w:r w:rsidRPr="00DA7B0D">
              <w:rPr>
                <w:rFonts w:asciiTheme="majorHAnsi" w:eastAsia="Times New Roman" w:hAnsiTheme="majorHAnsi"/>
                <w:lang w:eastAsia="en-GB"/>
              </w:rPr>
              <w:br/>
              <w:t>Specify whether this amount is</w:t>
            </w:r>
          </w:p>
        </w:tc>
        <w:tc>
          <w:tcPr>
            <w:tcW w:w="25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£813792</w:t>
            </w:r>
            <w:r w:rsidRPr="00DA7B0D">
              <w:rPr>
                <w:rFonts w:asciiTheme="majorHAnsi" w:eastAsia="Times New Roman" w:hAnsiTheme="majorHAnsi"/>
                <w:lang w:eastAsia="en-GB"/>
              </w:rPr>
              <w:br/>
            </w:r>
            <w:r w:rsidRPr="00DA7B0D">
              <w:rPr>
                <w:rFonts w:asciiTheme="majorHAnsi" w:eastAsia="Times New Roman" w:hAnsiTheme="majorHAnsi"/>
                <w:lang w:eastAsia="en-GB"/>
              </w:rPr>
              <w:br/>
              <w:t>Market value</w:t>
            </w:r>
          </w:p>
        </w:tc>
      </w:tr>
    </w:tbl>
    <w:p w:rsidR="00DA7B0D" w:rsidRPr="00DA7B0D" w:rsidRDefault="00DA7B0D" w:rsidP="00DA7B0D">
      <w:pPr>
        <w:spacing w:after="0" w:line="240" w:lineRule="auto"/>
        <w:rPr>
          <w:rFonts w:asciiTheme="majorHAnsi" w:eastAsia="Times New Roman" w:hAnsiTheme="majorHAnsi"/>
          <w:vanish/>
          <w:lang w:eastAsia="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DA7B0D" w:rsidRPr="00DA7B0D" w:rsidTr="00DA7B0D">
        <w:trPr>
          <w:tblCellSpacing w:w="15" w:type="dxa"/>
        </w:trPr>
        <w:tc>
          <w:tcPr>
            <w:tcW w:w="2500" w:type="pct"/>
            <w:shd w:val="clear" w:color="auto" w:fill="FFFFFF"/>
            <w:tcMar>
              <w:top w:w="45" w:type="dxa"/>
              <w:left w:w="45" w:type="dxa"/>
              <w:bottom w:w="45" w:type="dxa"/>
              <w:right w:w="45" w:type="dxa"/>
            </w:tcMa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Nature of asset(s) disposed</w:t>
            </w:r>
          </w:p>
        </w:tc>
        <w:tc>
          <w:tcPr>
            <w:tcW w:w="25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240" w:line="240" w:lineRule="auto"/>
              <w:rPr>
                <w:rFonts w:asciiTheme="majorHAnsi" w:eastAsia="Times New Roman" w:hAnsiTheme="majorHAnsi"/>
                <w:lang w:eastAsia="en-GB"/>
              </w:rPr>
            </w:pPr>
            <w:r w:rsidRPr="00DA7B0D">
              <w:rPr>
                <w:rFonts w:asciiTheme="majorHAnsi" w:eastAsia="Times New Roman" w:hAnsiTheme="majorHAnsi"/>
                <w:lang w:eastAsia="en-GB"/>
              </w:rPr>
              <w:t>Quoted shares</w:t>
            </w:r>
          </w:p>
        </w:tc>
      </w:tr>
      <w:tr w:rsidR="00DA7B0D" w:rsidRPr="00DA7B0D" w:rsidTr="00DA7B0D">
        <w:trPr>
          <w:tblCellSpacing w:w="15" w:type="dxa"/>
        </w:trPr>
        <w:tc>
          <w:tcPr>
            <w:tcW w:w="250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Total consideration received from the disposal of any assets</w:t>
            </w: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£30262</w:t>
            </w:r>
          </w:p>
        </w:tc>
      </w:tr>
      <w:tr w:rsidR="00DA7B0D" w:rsidRPr="00DA7B0D" w:rsidTr="00DA7B0D">
        <w:trPr>
          <w:tblCellSpacing w:w="15" w:type="dxa"/>
        </w:trPr>
        <w:tc>
          <w:tcPr>
            <w:tcW w:w="250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Were any disposals made to a connected party or parties?</w:t>
            </w: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No</w:t>
            </w:r>
          </w:p>
        </w:tc>
      </w:tr>
    </w:tbl>
    <w:p w:rsidR="00DA7B0D" w:rsidRPr="00DA7B0D" w:rsidRDefault="00DA7B0D" w:rsidP="00DA7B0D">
      <w:pPr>
        <w:spacing w:after="0" w:line="240" w:lineRule="auto"/>
        <w:rPr>
          <w:rFonts w:asciiTheme="majorHAnsi" w:eastAsia="Times New Roman" w:hAnsiTheme="majorHAnsi"/>
          <w:vanish/>
          <w:lang w:eastAsia="en-GB"/>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DA7B0D" w:rsidRPr="00DA7B0D" w:rsidTr="00DA7B0D">
        <w:trPr>
          <w:tblCellSpacing w:w="15" w:type="dxa"/>
        </w:trPr>
        <w:tc>
          <w:tcPr>
            <w:tcW w:w="250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Total amount of income from assets received</w:t>
            </w:r>
          </w:p>
        </w:tc>
        <w:tc>
          <w:tcPr>
            <w:tcW w:w="250" w:type="pct"/>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p>
        </w:tc>
        <w:tc>
          <w:tcPr>
            <w:tcW w:w="0" w:type="auto"/>
            <w:shd w:val="clear" w:color="auto" w:fill="FFFFFF"/>
            <w:tcMar>
              <w:top w:w="45" w:type="dxa"/>
              <w:left w:w="45" w:type="dxa"/>
              <w:bottom w:w="45" w:type="dxa"/>
              <w:right w:w="45" w:type="dxa"/>
            </w:tcMar>
            <w:vAlign w:val="center"/>
            <w:hideMark/>
          </w:tcPr>
          <w:p w:rsidR="00DA7B0D" w:rsidRPr="00DA7B0D" w:rsidRDefault="00DA7B0D" w:rsidP="00DA7B0D">
            <w:pPr>
              <w:spacing w:after="0" w:line="240" w:lineRule="auto"/>
              <w:rPr>
                <w:rFonts w:asciiTheme="majorHAnsi" w:eastAsia="Times New Roman" w:hAnsiTheme="majorHAnsi"/>
                <w:lang w:eastAsia="en-GB"/>
              </w:rPr>
            </w:pPr>
            <w:r w:rsidRPr="00DA7B0D">
              <w:rPr>
                <w:rFonts w:asciiTheme="majorHAnsi" w:eastAsia="Times New Roman" w:hAnsiTheme="majorHAnsi"/>
                <w:lang w:eastAsia="en-GB"/>
              </w:rPr>
              <w:t>£58936</w:t>
            </w:r>
          </w:p>
        </w:tc>
      </w:tr>
    </w:tbl>
    <w:p w:rsidR="00AC32C2" w:rsidRPr="00AC32C2" w:rsidRDefault="00AC32C2" w:rsidP="007E5CBD">
      <w:pPr>
        <w:pStyle w:val="Headings"/>
        <w:rPr>
          <w:rStyle w:val="BlueCompany"/>
          <w:rFonts w:asciiTheme="majorHAnsi" w:hAnsiTheme="majorHAnsi"/>
          <w:sz w:val="22"/>
          <w:szCs w:val="22"/>
        </w:rPr>
      </w:pPr>
    </w:p>
    <w:tbl>
      <w:tblPr>
        <w:tblW w:w="8125" w:type="dxa"/>
        <w:tblCellSpacing w:w="15" w:type="dxa"/>
        <w:tblInd w:w="30" w:type="dxa"/>
        <w:shd w:val="clear" w:color="auto" w:fill="FFFFFF"/>
        <w:tblCellMar>
          <w:top w:w="15" w:type="dxa"/>
          <w:left w:w="225" w:type="dxa"/>
          <w:bottom w:w="15" w:type="dxa"/>
          <w:right w:w="15" w:type="dxa"/>
        </w:tblCellMar>
        <w:tblLook w:val="04A0" w:firstRow="1" w:lastRow="0" w:firstColumn="1" w:lastColumn="0" w:noHBand="0" w:noVBand="1"/>
      </w:tblPr>
      <w:tblGrid>
        <w:gridCol w:w="7611"/>
        <w:gridCol w:w="514"/>
      </w:tblGrid>
      <w:tr w:rsidR="00227EA8" w:rsidRPr="00AC32C2" w:rsidTr="00152BA0">
        <w:trPr>
          <w:tblCellSpacing w:w="15" w:type="dxa"/>
        </w:trPr>
        <w:tc>
          <w:tcPr>
            <w:tcW w:w="4655" w:type="pct"/>
            <w:shd w:val="clear" w:color="auto" w:fill="FFFFFF"/>
            <w:tcMar>
              <w:top w:w="45" w:type="dxa"/>
              <w:left w:w="45" w:type="dxa"/>
              <w:bottom w:w="45" w:type="dxa"/>
              <w:right w:w="45" w:type="dxa"/>
            </w:tcMar>
            <w:vAlign w:val="center"/>
          </w:tcPr>
          <w:p w:rsidR="00D3032C" w:rsidRPr="00AC32C2" w:rsidRDefault="00D3032C" w:rsidP="00D3032C">
            <w:pPr>
              <w:pStyle w:val="TextReport"/>
              <w:rPr>
                <w:rFonts w:asciiTheme="majorHAnsi" w:hAnsiTheme="majorHAnsi" w:cs="Helvetica"/>
                <w:szCs w:val="22"/>
              </w:rPr>
            </w:pPr>
            <w:r w:rsidRPr="00AC32C2">
              <w:rPr>
                <w:rFonts w:asciiTheme="majorHAnsi" w:hAnsiTheme="majorHAnsi" w:cs="Helvetica"/>
                <w:szCs w:val="22"/>
              </w:rPr>
              <w:t>There were no event report or audit enquiries made by HMRC during the tax period.</w:t>
            </w:r>
          </w:p>
          <w:p w:rsidR="00227EA8" w:rsidRPr="00AC32C2" w:rsidRDefault="00227EA8" w:rsidP="007E5CBD">
            <w:pPr>
              <w:spacing w:after="0" w:line="240" w:lineRule="auto"/>
              <w:rPr>
                <w:rFonts w:asciiTheme="majorHAnsi" w:eastAsia="Times New Roman" w:hAnsiTheme="majorHAnsi" w:cs="Helvetica"/>
                <w:lang w:eastAsia="en-GB"/>
              </w:rPr>
            </w:pPr>
          </w:p>
        </w:tc>
        <w:tc>
          <w:tcPr>
            <w:tcW w:w="289" w:type="pct"/>
            <w:shd w:val="clear" w:color="auto" w:fill="FFFFFF"/>
            <w:tcMar>
              <w:top w:w="45" w:type="dxa"/>
              <w:left w:w="45" w:type="dxa"/>
              <w:bottom w:w="45" w:type="dxa"/>
              <w:right w:w="45" w:type="dxa"/>
            </w:tcMar>
            <w:vAlign w:val="center"/>
          </w:tcPr>
          <w:p w:rsidR="00227EA8" w:rsidRPr="00AC32C2" w:rsidRDefault="00227EA8" w:rsidP="007E5CBD">
            <w:pPr>
              <w:spacing w:after="0" w:line="240" w:lineRule="auto"/>
              <w:rPr>
                <w:rFonts w:asciiTheme="majorHAnsi" w:eastAsia="Times New Roman" w:hAnsiTheme="majorHAnsi" w:cs="Helvetica"/>
                <w:lang w:eastAsia="en-GB"/>
              </w:rPr>
            </w:pPr>
          </w:p>
        </w:tc>
      </w:tr>
    </w:tbl>
    <w:p w:rsidR="00227EA8" w:rsidRDefault="00227EA8" w:rsidP="007E5CBD">
      <w:pPr>
        <w:spacing w:after="0" w:line="240" w:lineRule="auto"/>
        <w:rPr>
          <w:rFonts w:ascii="Helvetica" w:eastAsia="Times New Roman" w:hAnsi="Helvetica" w:cs="Helvetica"/>
          <w:lang w:eastAsia="en-GB"/>
        </w:rPr>
      </w:pPr>
    </w:p>
    <w:p w:rsidR="00AC32C2" w:rsidRDefault="00AC32C2" w:rsidP="007E5CBD">
      <w:pPr>
        <w:spacing w:after="0" w:line="240" w:lineRule="auto"/>
        <w:rPr>
          <w:rFonts w:ascii="Helvetica" w:eastAsia="Times New Roman" w:hAnsi="Helvetica" w:cs="Helvetica"/>
          <w:lang w:eastAsia="en-GB"/>
        </w:rPr>
      </w:pPr>
    </w:p>
    <w:p w:rsidR="00DA7B0D" w:rsidRDefault="00DA7B0D" w:rsidP="007E5CBD">
      <w:pPr>
        <w:spacing w:after="0" w:line="240" w:lineRule="auto"/>
        <w:rPr>
          <w:rFonts w:ascii="Helvetica" w:eastAsia="Times New Roman" w:hAnsi="Helvetica" w:cs="Helvetica"/>
          <w:lang w:eastAsia="en-GB"/>
        </w:rPr>
      </w:pPr>
    </w:p>
    <w:p w:rsidR="00DA7B0D" w:rsidRDefault="00DA7B0D" w:rsidP="007E5CBD">
      <w:pPr>
        <w:spacing w:after="0" w:line="240" w:lineRule="auto"/>
        <w:rPr>
          <w:rFonts w:ascii="Helvetica" w:eastAsia="Times New Roman" w:hAnsi="Helvetica" w:cs="Helvetica"/>
          <w:lang w:eastAsia="en-GB"/>
        </w:rPr>
      </w:pPr>
    </w:p>
    <w:p w:rsidR="00DA7B0D" w:rsidRDefault="00DA7B0D" w:rsidP="007E5CBD">
      <w:pPr>
        <w:spacing w:after="0" w:line="240" w:lineRule="auto"/>
        <w:rPr>
          <w:rFonts w:ascii="Helvetica" w:eastAsia="Times New Roman" w:hAnsi="Helvetica" w:cs="Helvetica"/>
          <w:lang w:eastAsia="en-GB"/>
        </w:rPr>
      </w:pPr>
    </w:p>
    <w:p w:rsidR="00DA7B0D" w:rsidRDefault="00DA7B0D" w:rsidP="007E5CBD">
      <w:pPr>
        <w:spacing w:after="0" w:line="240" w:lineRule="auto"/>
        <w:rPr>
          <w:rFonts w:ascii="Helvetica" w:eastAsia="Times New Roman" w:hAnsi="Helvetica" w:cs="Helvetica"/>
          <w:lang w:eastAsia="en-GB"/>
        </w:rPr>
      </w:pPr>
    </w:p>
    <w:p w:rsidR="00DA7B0D" w:rsidRDefault="00DA7B0D" w:rsidP="007E5CBD">
      <w:pPr>
        <w:spacing w:after="0" w:line="240" w:lineRule="auto"/>
        <w:rPr>
          <w:rFonts w:ascii="Helvetica" w:eastAsia="Times New Roman" w:hAnsi="Helvetica" w:cs="Helvetica"/>
          <w:lang w:eastAsia="en-GB"/>
        </w:rPr>
      </w:pPr>
    </w:p>
    <w:p w:rsidR="00DA7B0D" w:rsidRDefault="00DA7B0D" w:rsidP="007E5CBD">
      <w:pPr>
        <w:spacing w:after="0" w:line="240" w:lineRule="auto"/>
        <w:rPr>
          <w:rFonts w:ascii="Helvetica" w:eastAsia="Times New Roman" w:hAnsi="Helvetica" w:cs="Helvetica"/>
          <w:lang w:eastAsia="en-GB"/>
        </w:rPr>
      </w:pPr>
    </w:p>
    <w:p w:rsidR="00DA7B0D" w:rsidRDefault="00DA7B0D" w:rsidP="007E5CBD">
      <w:pPr>
        <w:spacing w:after="0" w:line="240" w:lineRule="auto"/>
        <w:rPr>
          <w:rFonts w:ascii="Helvetica" w:eastAsia="Times New Roman" w:hAnsi="Helvetica" w:cs="Helvetica"/>
          <w:lang w:eastAsia="en-GB"/>
        </w:rPr>
      </w:pPr>
    </w:p>
    <w:p w:rsidR="00DA7B0D" w:rsidRDefault="00DA7B0D" w:rsidP="007E5CBD">
      <w:pPr>
        <w:spacing w:after="0" w:line="240" w:lineRule="auto"/>
        <w:rPr>
          <w:rFonts w:ascii="Helvetica" w:eastAsia="Times New Roman" w:hAnsi="Helvetica" w:cs="Helvetica"/>
          <w:lang w:eastAsia="en-GB"/>
        </w:rPr>
      </w:pPr>
    </w:p>
    <w:p w:rsidR="00DA7B0D" w:rsidRDefault="00DA7B0D" w:rsidP="007E5CBD">
      <w:pPr>
        <w:spacing w:after="0" w:line="240" w:lineRule="auto"/>
        <w:rPr>
          <w:rFonts w:ascii="Helvetica" w:eastAsia="Times New Roman" w:hAnsi="Helvetica" w:cs="Helvetica"/>
          <w:lang w:eastAsia="en-GB"/>
        </w:rPr>
      </w:pPr>
    </w:p>
    <w:p w:rsidR="00DA7B0D" w:rsidRDefault="00DA7B0D" w:rsidP="007E5CBD">
      <w:pPr>
        <w:spacing w:after="0" w:line="240" w:lineRule="auto"/>
        <w:rPr>
          <w:rFonts w:ascii="Helvetica" w:eastAsia="Times New Roman" w:hAnsi="Helvetica" w:cs="Helvetica"/>
          <w:lang w:eastAsia="en-GB"/>
        </w:rPr>
      </w:pPr>
    </w:p>
    <w:p w:rsidR="00DA7B0D" w:rsidRDefault="00DA7B0D" w:rsidP="007E5CBD">
      <w:pPr>
        <w:spacing w:after="0" w:line="240" w:lineRule="auto"/>
        <w:rPr>
          <w:rFonts w:ascii="Helvetica" w:eastAsia="Times New Roman" w:hAnsi="Helvetica" w:cs="Helvetica"/>
          <w:lang w:eastAsia="en-GB"/>
        </w:rPr>
      </w:pPr>
    </w:p>
    <w:p w:rsidR="00DA7B0D" w:rsidRPr="00920BB4" w:rsidRDefault="00DA7B0D" w:rsidP="007E5CBD">
      <w:pPr>
        <w:spacing w:after="0" w:line="240" w:lineRule="auto"/>
        <w:rPr>
          <w:rFonts w:ascii="Helvetica" w:eastAsia="Times New Roman" w:hAnsi="Helvetica" w:cs="Helvetica"/>
          <w:vanish/>
          <w:lang w:eastAsia="en-GB"/>
        </w:rPr>
      </w:pPr>
    </w:p>
    <w:p w:rsidR="00227EA8" w:rsidRPr="007456E3" w:rsidRDefault="00227EA8" w:rsidP="007E5CBD">
      <w:pPr>
        <w:pStyle w:val="TextReport"/>
        <w:rPr>
          <w:rStyle w:val="IntenseEmphasis"/>
          <w:rFonts w:ascii="Helvetica" w:hAnsi="Helvetica" w:cs="Helvetica"/>
          <w:b w:val="0"/>
          <w:bCs w:val="0"/>
          <w:i w:val="0"/>
          <w:iCs w:val="0"/>
          <w:color w:val="auto"/>
          <w:szCs w:val="22"/>
        </w:rPr>
      </w:pPr>
      <w:r>
        <w:rPr>
          <w:rStyle w:val="BlueCompany"/>
          <w:color w:val="808080" w:themeColor="background1" w:themeShade="80"/>
          <w:sz w:val="48"/>
        </w:rPr>
        <w:t>3</w:t>
      </w:r>
      <w:r w:rsidR="009F7109">
        <w:rPr>
          <w:rStyle w:val="BlueCompany"/>
          <w:color w:val="808080" w:themeColor="background1" w:themeShade="80"/>
          <w:sz w:val="48"/>
        </w:rPr>
        <w:t>.</w:t>
      </w:r>
      <w:r>
        <w:rPr>
          <w:rStyle w:val="BlueCompany"/>
          <w:sz w:val="48"/>
        </w:rPr>
        <w:t xml:space="preserve"> </w:t>
      </w:r>
      <w:r w:rsidR="009F7109">
        <w:rPr>
          <w:rStyle w:val="BlueCompany"/>
          <w:sz w:val="48"/>
        </w:rPr>
        <w:t>Inflation Report 2013</w:t>
      </w:r>
      <w:r w:rsidRPr="00227EA8">
        <w:rPr>
          <w:rStyle w:val="BlueCompany"/>
          <w:sz w:val="48"/>
        </w:rPr>
        <w:t xml:space="preserve"> and </w:t>
      </w:r>
      <w:r w:rsidR="009F7109">
        <w:rPr>
          <w:rStyle w:val="BlueCompany"/>
          <w:sz w:val="48"/>
        </w:rPr>
        <w:t>2014</w:t>
      </w:r>
      <w:r w:rsidRPr="00227EA8">
        <w:rPr>
          <w:rStyle w:val="BlueCompany"/>
          <w:sz w:val="48"/>
        </w:rPr>
        <w:t xml:space="preserve"> Outlook</w:t>
      </w:r>
    </w:p>
    <w:p w:rsidR="00227EA8" w:rsidRPr="009F7109" w:rsidRDefault="00227EA8" w:rsidP="007E5CBD">
      <w:pPr>
        <w:pStyle w:val="TextReport"/>
        <w:jc w:val="both"/>
        <w:rPr>
          <w:rFonts w:cs="Helvetica"/>
          <w:sz w:val="23"/>
        </w:rPr>
      </w:pPr>
    </w:p>
    <w:p w:rsidR="009F7109" w:rsidRPr="00920BB4" w:rsidRDefault="009F7109" w:rsidP="007E5CBD">
      <w:pPr>
        <w:spacing w:after="0" w:line="240" w:lineRule="auto"/>
        <w:jc w:val="both"/>
        <w:rPr>
          <w:rFonts w:ascii="Helvetica" w:hAnsi="Helvetica" w:cs="Helvetica"/>
        </w:rPr>
      </w:pPr>
      <w:r w:rsidRPr="00920BB4">
        <w:rPr>
          <w:rFonts w:ascii="Helvetica" w:hAnsi="Helvetica" w:cs="Helvetica"/>
        </w:rPr>
        <w:t xml:space="preserve">It is important to consider the effects of inflation on pension funds to ascertain any real growth in a pension scheme. Simply put, if your pension fund return over the tax year exceeds that of inflation your fund has grown in real terms and has maintained purchasing power. </w:t>
      </w:r>
    </w:p>
    <w:p w:rsidR="009F7109" w:rsidRPr="00920BB4" w:rsidRDefault="009F7109" w:rsidP="007E5CBD">
      <w:pPr>
        <w:spacing w:after="0" w:line="240" w:lineRule="auto"/>
        <w:jc w:val="both"/>
        <w:rPr>
          <w:rFonts w:ascii="Helvetica" w:hAnsi="Helvetica" w:cs="Helvetica"/>
        </w:rPr>
      </w:pPr>
    </w:p>
    <w:p w:rsidR="009F7109" w:rsidRPr="00920BB4" w:rsidRDefault="009F7109" w:rsidP="007E5CBD">
      <w:pPr>
        <w:spacing w:after="0" w:line="240" w:lineRule="auto"/>
        <w:jc w:val="both"/>
        <w:rPr>
          <w:rFonts w:ascii="Helvetica" w:hAnsi="Helvetica" w:cs="Helvetica"/>
        </w:rPr>
      </w:pPr>
      <w:r w:rsidRPr="00920BB4">
        <w:rPr>
          <w:rFonts w:ascii="Helvetica" w:hAnsi="Helvetica" w:cs="Helvetica"/>
        </w:rPr>
        <w:t>CPI and RPI measure change in the prices charged for goods and services bought for consumption in the UK. Prices are recorded monthly for a typical selection of products (referred to as the ‘basket of goods’), using a large sample of shops and other outlets.</w:t>
      </w:r>
    </w:p>
    <w:p w:rsidR="009F7109" w:rsidRPr="00920BB4" w:rsidRDefault="009F7109" w:rsidP="007E5CBD">
      <w:pPr>
        <w:spacing w:after="0" w:line="240" w:lineRule="auto"/>
        <w:jc w:val="both"/>
        <w:rPr>
          <w:rFonts w:ascii="Helvetica" w:hAnsi="Helvetica" w:cs="Helvetica"/>
        </w:rPr>
      </w:pPr>
    </w:p>
    <w:p w:rsidR="009F7109" w:rsidRPr="00920BB4" w:rsidRDefault="009F7109" w:rsidP="007E5CBD">
      <w:pPr>
        <w:spacing w:after="0" w:line="240" w:lineRule="auto"/>
        <w:jc w:val="both"/>
        <w:rPr>
          <w:rFonts w:ascii="Helvetica" w:hAnsi="Helvetica" w:cs="Helvetica"/>
        </w:rPr>
      </w:pPr>
      <w:r w:rsidRPr="00920BB4">
        <w:rPr>
          <w:rFonts w:ascii="Helvetica" w:hAnsi="Helvetica" w:cs="Helvetica"/>
        </w:rPr>
        <w:t>In the March Budget for 2013, the Monetary Policy Committee (MPC) was given a new remit. That reaffirms the MPC’s primary objective of a target for CPI inflation of 2%.</w:t>
      </w:r>
    </w:p>
    <w:p w:rsidR="009F7109" w:rsidRPr="00920BB4" w:rsidRDefault="009F7109" w:rsidP="007E5CBD">
      <w:pPr>
        <w:spacing w:after="0" w:line="240" w:lineRule="auto"/>
        <w:jc w:val="both"/>
        <w:rPr>
          <w:rFonts w:ascii="Helvetica" w:hAnsi="Helvetica" w:cs="Helvetica"/>
        </w:rPr>
      </w:pPr>
    </w:p>
    <w:p w:rsidR="009F7109" w:rsidRPr="00920BB4" w:rsidRDefault="005A354C" w:rsidP="007E5CBD">
      <w:pPr>
        <w:spacing w:after="0" w:line="240" w:lineRule="auto"/>
        <w:jc w:val="both"/>
        <w:rPr>
          <w:rFonts w:ascii="Helvetica" w:hAnsi="Helvetica" w:cs="Helvetica"/>
        </w:rPr>
      </w:pPr>
      <w:r>
        <w:rPr>
          <w:rFonts w:ascii="Helvetica" w:hAnsi="Helvetica" w:cs="Helvetica"/>
        </w:rPr>
        <w:t xml:space="preserve">CPI inflation </w:t>
      </w:r>
      <w:r w:rsidR="009F7109" w:rsidRPr="00920BB4">
        <w:rPr>
          <w:rFonts w:ascii="Helvetica" w:hAnsi="Helvetica" w:cs="Helvetica"/>
        </w:rPr>
        <w:t xml:space="preserve">has remained above the 2% target for most of the past five years, pushed up by VAT, energy and import prices. But over the same period, the GDP deflator – a measure of domestic price pressures in the whole economy – has risen at a lower rate of very close to 2% a year. </w:t>
      </w:r>
    </w:p>
    <w:p w:rsidR="009F7109" w:rsidRPr="00920BB4" w:rsidRDefault="009F7109" w:rsidP="007E5CBD">
      <w:pPr>
        <w:spacing w:after="0" w:line="240" w:lineRule="auto"/>
        <w:jc w:val="both"/>
        <w:rPr>
          <w:rFonts w:ascii="Helvetica" w:hAnsi="Helvetica" w:cs="Helvetica"/>
        </w:rPr>
      </w:pPr>
    </w:p>
    <w:p w:rsidR="009F7109" w:rsidRPr="00920BB4" w:rsidRDefault="009F7109" w:rsidP="007E5CBD">
      <w:pPr>
        <w:spacing w:after="0" w:line="240" w:lineRule="auto"/>
        <w:jc w:val="both"/>
        <w:rPr>
          <w:rFonts w:ascii="Helvetica" w:hAnsi="Helvetica" w:cs="Helvetica"/>
        </w:rPr>
      </w:pPr>
      <w:r w:rsidRPr="00920BB4">
        <w:rPr>
          <w:rFonts w:ascii="Helvetica" w:hAnsi="Helvetica" w:cs="Helvetica"/>
        </w:rPr>
        <w:t>Increases in university tuition fees and domestic energy bills, largely resulting from administrative decisions rather than market forces, have added to CPI inflation recently. These and other administered and regulated prices contributed around one percentage point to inflation at the end of last year, more than double the historical average. They are likely to push up on inflation over much of the forecast period, making the challenge of bringing CPI inflation back to 2% more difficult, even if other domestic price pressures are contained.</w:t>
      </w:r>
    </w:p>
    <w:p w:rsidR="009F7109" w:rsidRPr="00920BB4" w:rsidRDefault="009F7109" w:rsidP="007E5CBD">
      <w:pPr>
        <w:spacing w:after="0" w:line="240" w:lineRule="auto"/>
        <w:jc w:val="both"/>
        <w:rPr>
          <w:rFonts w:ascii="Helvetica" w:hAnsi="Helvetica" w:cs="Helvetica"/>
        </w:rPr>
      </w:pPr>
    </w:p>
    <w:p w:rsidR="00A65E9B" w:rsidRDefault="009F7109" w:rsidP="007E5CBD">
      <w:pPr>
        <w:spacing w:after="0" w:line="240" w:lineRule="auto"/>
        <w:jc w:val="both"/>
        <w:rPr>
          <w:rFonts w:ascii="Helvetica" w:hAnsi="Helvetica" w:cs="Helvetica"/>
        </w:rPr>
      </w:pPr>
      <w:r w:rsidRPr="00920BB4">
        <w:rPr>
          <w:rFonts w:ascii="Helvetica" w:hAnsi="Helvetica" w:cs="Helvetica"/>
        </w:rPr>
        <w:t>Inflation is likely to remain above the 2% target for some time as the contribution from administered and regulated prices persists over the next two to three years. Nevertheless, despite that persistence, weak private sector wage growth and fading external price pressures, together with anchored medium-term inflation expectations, mean that inflation should gradually fall back towards, and perhaps below, the target over the forecast period.</w:t>
      </w:r>
    </w:p>
    <w:p w:rsidR="00EC0E4C" w:rsidRDefault="00EC0E4C" w:rsidP="007E5CBD">
      <w:pPr>
        <w:spacing w:after="0" w:line="240" w:lineRule="auto"/>
        <w:jc w:val="both"/>
        <w:rPr>
          <w:rFonts w:ascii="Helvetica" w:hAnsi="Helvetica" w:cs="Helvetica"/>
        </w:rPr>
      </w:pPr>
    </w:p>
    <w:p w:rsidR="00EC0E4C" w:rsidRDefault="00EC0E4C" w:rsidP="007E5CBD">
      <w:pPr>
        <w:spacing w:after="0" w:line="240" w:lineRule="auto"/>
        <w:jc w:val="both"/>
        <w:rPr>
          <w:rFonts w:ascii="Helvetica" w:hAnsi="Helvetica" w:cs="Helvetica"/>
        </w:rPr>
      </w:pPr>
    </w:p>
    <w:p w:rsidR="00EC0E4C" w:rsidRPr="007456E3" w:rsidRDefault="00EC0E4C" w:rsidP="007E5CBD">
      <w:pPr>
        <w:spacing w:after="0" w:line="240" w:lineRule="auto"/>
        <w:jc w:val="both"/>
        <w:rPr>
          <w:rFonts w:ascii="Helvetica" w:hAnsi="Helvetica" w:cs="Helvetica"/>
        </w:rPr>
      </w:pPr>
    </w:p>
    <w:p w:rsidR="009F7109" w:rsidRPr="00920BB4" w:rsidRDefault="009F7109" w:rsidP="007E5CBD">
      <w:pPr>
        <w:spacing w:after="0" w:line="240" w:lineRule="auto"/>
        <w:rPr>
          <w:rFonts w:ascii="Helvetica" w:hAnsi="Helvetica" w:cs="Helvetica"/>
          <w:b/>
        </w:rPr>
      </w:pPr>
      <w:r w:rsidRPr="00920BB4">
        <w:rPr>
          <w:noProof/>
          <w:lang w:eastAsia="en-GB"/>
        </w:rPr>
        <w:drawing>
          <wp:inline distT="0" distB="0" distL="0" distR="0" wp14:anchorId="611B2F09" wp14:editId="6AE84DF9">
            <wp:extent cx="4844415" cy="2045420"/>
            <wp:effectExtent l="0" t="0" r="0" b="0"/>
            <wp:docPr id="2" name="Picture 2" descr="United Kingdom Inflation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Kingdom Inflation Rat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844415" cy="2045420"/>
                    </a:xfrm>
                    <a:prstGeom prst="rect">
                      <a:avLst/>
                    </a:prstGeom>
                    <a:noFill/>
                    <a:ln>
                      <a:noFill/>
                    </a:ln>
                  </pic:spPr>
                </pic:pic>
              </a:graphicData>
            </a:graphic>
          </wp:inline>
        </w:drawing>
      </w:r>
    </w:p>
    <w:p w:rsidR="009F7109" w:rsidRPr="00920BB4" w:rsidRDefault="009F7109" w:rsidP="007E5CBD">
      <w:pPr>
        <w:spacing w:after="0" w:line="240" w:lineRule="auto"/>
        <w:jc w:val="both"/>
        <w:rPr>
          <w:rFonts w:ascii="Helvetica" w:hAnsi="Helvetica" w:cs="Helvetica"/>
          <w:b/>
        </w:rPr>
      </w:pPr>
    </w:p>
    <w:p w:rsidR="009F7109" w:rsidRPr="00920BB4" w:rsidRDefault="009F7109" w:rsidP="007E5CBD">
      <w:pPr>
        <w:spacing w:after="0" w:line="240" w:lineRule="auto"/>
        <w:jc w:val="both"/>
        <w:rPr>
          <w:rFonts w:ascii="Helvetica" w:hAnsi="Helvetica" w:cs="Helvetica"/>
          <w:b/>
        </w:rPr>
      </w:pPr>
    </w:p>
    <w:p w:rsidR="009F7109" w:rsidRPr="00920BB4" w:rsidRDefault="009F7109" w:rsidP="007E5CBD">
      <w:pPr>
        <w:spacing w:after="0" w:line="240" w:lineRule="auto"/>
        <w:jc w:val="both"/>
        <w:rPr>
          <w:rFonts w:ascii="Helvetica" w:hAnsi="Helvetica" w:cs="Helvetica"/>
          <w:b/>
        </w:rPr>
      </w:pPr>
    </w:p>
    <w:p w:rsidR="009F7109" w:rsidRPr="00920BB4" w:rsidRDefault="009F7109" w:rsidP="007E5CBD">
      <w:pPr>
        <w:spacing w:after="0" w:line="240" w:lineRule="auto"/>
        <w:jc w:val="both"/>
        <w:rPr>
          <w:rFonts w:ascii="Helvetica" w:hAnsi="Helvetica" w:cs="Helvetica"/>
          <w:b/>
        </w:rPr>
      </w:pPr>
      <w:r w:rsidRPr="00920BB4">
        <w:rPr>
          <w:rFonts w:ascii="Helvetica" w:hAnsi="Helvetica" w:cs="Helvetica"/>
          <w:b/>
        </w:rPr>
        <w:lastRenderedPageBreak/>
        <w:t>Short and long term forecast</w:t>
      </w:r>
    </w:p>
    <w:p w:rsidR="009F7109" w:rsidRPr="00920BB4" w:rsidRDefault="009F7109" w:rsidP="007E5CBD">
      <w:pPr>
        <w:spacing w:after="0" w:line="240" w:lineRule="auto"/>
        <w:jc w:val="both"/>
        <w:rPr>
          <w:rFonts w:ascii="Helvetica" w:hAnsi="Helvetica" w:cs="Helvetica"/>
        </w:rPr>
      </w:pPr>
      <w:r w:rsidRPr="00920BB4">
        <w:rPr>
          <w:rFonts w:ascii="Helvetica" w:hAnsi="Helvetica" w:cs="Helvetica"/>
        </w:rPr>
        <w:br/>
      </w:r>
    </w:p>
    <w:p w:rsidR="009F7109" w:rsidRPr="001E0966" w:rsidRDefault="009F7109" w:rsidP="007E5CBD">
      <w:pPr>
        <w:shd w:val="clear" w:color="auto" w:fill="FFFFFF"/>
        <w:spacing w:after="0" w:line="240" w:lineRule="auto"/>
        <w:jc w:val="both"/>
        <w:rPr>
          <w:rFonts w:ascii="Helvetica" w:eastAsia="Times New Roman" w:hAnsi="Helvetica" w:cs="Helvetica"/>
        </w:rPr>
      </w:pPr>
      <w:r w:rsidRPr="001E0966">
        <w:rPr>
          <w:rFonts w:ascii="Helvetica" w:eastAsia="Times New Roman" w:hAnsi="Helvetica" w:cs="Helvetica"/>
        </w:rPr>
        <w:t xml:space="preserve">Inflation is more likely than not to remain above 2% for much of the next two years. This further sustained period of above-target inflation largely reflects the impact of the depreciation of sterling earlier this year and the judgment that the unusually large contribution from administered and regulated prices will persist. </w:t>
      </w:r>
    </w:p>
    <w:p w:rsidR="009F7109" w:rsidRPr="00920BB4" w:rsidRDefault="009F7109" w:rsidP="007E5CBD">
      <w:pPr>
        <w:spacing w:after="0" w:line="240" w:lineRule="auto"/>
        <w:jc w:val="both"/>
        <w:rPr>
          <w:rFonts w:ascii="Helvetica" w:hAnsi="Helvetica" w:cs="Helvetica"/>
        </w:rPr>
      </w:pPr>
    </w:p>
    <w:p w:rsidR="009F7109" w:rsidRPr="001E0966" w:rsidRDefault="009F7109" w:rsidP="007E5CBD">
      <w:pPr>
        <w:shd w:val="clear" w:color="auto" w:fill="FFFFFF"/>
        <w:spacing w:after="0" w:line="240" w:lineRule="auto"/>
        <w:jc w:val="both"/>
        <w:rPr>
          <w:rFonts w:ascii="Helvetica" w:eastAsia="Times New Roman" w:hAnsi="Helvetica" w:cs="Helvetica"/>
        </w:rPr>
      </w:pPr>
      <w:r w:rsidRPr="001E0966">
        <w:rPr>
          <w:rFonts w:ascii="Helvetica" w:eastAsia="Times New Roman" w:hAnsi="Helvetica" w:cs="Helvetica"/>
        </w:rPr>
        <w:t>Despite that, inflation is likely to fall back to around the 2% target by 2015. A gradual revival in productivity growth, combined with persistent spare capacity, should dampen domestic cost pressures sufficiently to offset the sustained elevated contribution from administered and regulated prices.</w:t>
      </w:r>
    </w:p>
    <w:p w:rsidR="009F7109" w:rsidRPr="00920BB4" w:rsidRDefault="009F7109" w:rsidP="007E5CBD">
      <w:pPr>
        <w:spacing w:after="0" w:line="240" w:lineRule="auto"/>
        <w:jc w:val="both"/>
        <w:rPr>
          <w:rFonts w:ascii="Helvetica" w:hAnsi="Helvetica" w:cs="Helvetica"/>
        </w:rPr>
      </w:pPr>
    </w:p>
    <w:p w:rsidR="009F7109" w:rsidRPr="00920BB4" w:rsidRDefault="009F7109" w:rsidP="007E5CBD">
      <w:pPr>
        <w:spacing w:after="0" w:line="240" w:lineRule="auto"/>
        <w:jc w:val="both"/>
        <w:rPr>
          <w:rFonts w:ascii="Helvetica" w:hAnsi="Helvetica" w:cs="Helvetica"/>
        </w:rPr>
      </w:pPr>
      <w:r w:rsidRPr="00920BB4">
        <w:rPr>
          <w:rFonts w:ascii="Helvetica" w:hAnsi="Helvetica" w:cs="Helvetica"/>
        </w:rPr>
        <w:t>There are a number of other sources of uncertainty affecting the outlook for inflation. As ever, inflation may be buffeted by movements in the exchange rate and commodity prices, both of which are prone to move sharply. It is unclear for how long inflation can remain above the target before it affects public perceptions of the MPC’s determination to keep inflation close to the 2% target, with potential implications for wages and prices. The path of inflation will also depend upon the extent to which companies’ profit margins are restored through higher prices, rather than through slower cost growth.</w:t>
      </w:r>
    </w:p>
    <w:p w:rsidR="009F7109" w:rsidRPr="00920BB4" w:rsidRDefault="009F7109" w:rsidP="007E5CBD">
      <w:pPr>
        <w:spacing w:after="0" w:line="240" w:lineRule="auto"/>
        <w:jc w:val="both"/>
        <w:rPr>
          <w:rFonts w:ascii="Helvetica" w:hAnsi="Helvetica" w:cs="Helvetica"/>
        </w:rPr>
      </w:pPr>
    </w:p>
    <w:p w:rsidR="007456E3" w:rsidRDefault="009F7109" w:rsidP="007E5CBD">
      <w:pPr>
        <w:spacing w:after="0" w:line="240" w:lineRule="auto"/>
        <w:jc w:val="both"/>
        <w:rPr>
          <w:rFonts w:ascii="Helvetica" w:hAnsi="Helvetica" w:cs="Helvetica"/>
          <w:b/>
        </w:rPr>
      </w:pPr>
      <w:r w:rsidRPr="007173F5">
        <w:rPr>
          <w:rFonts w:ascii="Helvetica" w:hAnsi="Helvetica" w:cs="Helvetica"/>
          <w:b/>
        </w:rPr>
        <w:t xml:space="preserve">In summary, inflation is more likely to be above than below the 2% target for much of the next two years, to around 2.5% - 3%.  If you therefore hold cash deposit at this time, interest rates remain very poor but there are some </w:t>
      </w:r>
      <w:r w:rsidR="007173F5" w:rsidRPr="007173F5">
        <w:rPr>
          <w:rFonts w:ascii="Helvetica" w:hAnsi="Helvetica" w:cs="Helvetica"/>
          <w:b/>
        </w:rPr>
        <w:t>2-</w:t>
      </w:r>
      <w:r w:rsidRPr="007173F5">
        <w:rPr>
          <w:rFonts w:ascii="Helvetica" w:hAnsi="Helvetica" w:cs="Helvetica"/>
          <w:b/>
        </w:rPr>
        <w:t>3 year deals around offering 3% and we will feature in autumn newsletter a table of the latest rates.</w:t>
      </w:r>
    </w:p>
    <w:p w:rsidR="007456E3" w:rsidRDefault="007456E3" w:rsidP="007E5CBD">
      <w:pPr>
        <w:spacing w:after="0" w:line="240" w:lineRule="auto"/>
        <w:rPr>
          <w:rFonts w:ascii="Helvetica" w:hAnsi="Helvetica" w:cs="Helvetica"/>
          <w:b/>
        </w:rPr>
      </w:pPr>
      <w:r>
        <w:rPr>
          <w:rFonts w:ascii="Helvetica" w:hAnsi="Helvetica" w:cs="Helvetica"/>
          <w:b/>
        </w:rPr>
        <w:br w:type="page"/>
      </w:r>
    </w:p>
    <w:p w:rsidR="00A65E9B" w:rsidRPr="00445D60" w:rsidRDefault="00A65E9B" w:rsidP="007E5CBD">
      <w:pPr>
        <w:pStyle w:val="Heading2"/>
        <w:rPr>
          <w:rStyle w:val="IntenseEmphasis"/>
          <w:rFonts w:ascii="Calibri" w:eastAsia="Calibri" w:hAnsi="Calibri"/>
          <w:b/>
          <w:bCs/>
          <w:sz w:val="22"/>
          <w:szCs w:val="22"/>
        </w:rPr>
      </w:pPr>
      <w:r>
        <w:rPr>
          <w:rStyle w:val="BlueCompany"/>
          <w:b/>
          <w:color w:val="808080" w:themeColor="background1" w:themeShade="80"/>
          <w:sz w:val="48"/>
        </w:rPr>
        <w:lastRenderedPageBreak/>
        <w:t>4</w:t>
      </w:r>
      <w:r w:rsidR="009F7109">
        <w:rPr>
          <w:rStyle w:val="BlueCompany"/>
          <w:b/>
          <w:color w:val="808080" w:themeColor="background1" w:themeShade="80"/>
          <w:sz w:val="48"/>
        </w:rPr>
        <w:t>.</w:t>
      </w:r>
      <w:r>
        <w:rPr>
          <w:rStyle w:val="BlueCompany"/>
          <w:b/>
          <w:sz w:val="48"/>
        </w:rPr>
        <w:t xml:space="preserve"> </w:t>
      </w:r>
      <w:r w:rsidR="007173F5">
        <w:rPr>
          <w:rStyle w:val="BlueCompany"/>
          <w:b/>
          <w:sz w:val="48"/>
        </w:rPr>
        <w:t>Economic and Markets Report</w:t>
      </w:r>
    </w:p>
    <w:p w:rsidR="00A65E9B" w:rsidRPr="00920BB4" w:rsidRDefault="00A65E9B" w:rsidP="007E5CBD">
      <w:pPr>
        <w:jc w:val="both"/>
        <w:rPr>
          <w:rStyle w:val="BlueCompany"/>
          <w:b w:val="0"/>
          <w:bCs/>
          <w:sz w:val="22"/>
          <w:szCs w:val="22"/>
        </w:rPr>
      </w:pPr>
    </w:p>
    <w:p w:rsidR="009F7109" w:rsidRPr="001E0966" w:rsidRDefault="009F7109" w:rsidP="007E5CBD">
      <w:pPr>
        <w:shd w:val="clear" w:color="auto" w:fill="FFFFFF"/>
        <w:spacing w:after="0" w:line="240" w:lineRule="auto"/>
        <w:jc w:val="both"/>
        <w:rPr>
          <w:rFonts w:ascii="Helvetica" w:eastAsia="Times New Roman" w:hAnsi="Helvetica" w:cs="Helvetica"/>
        </w:rPr>
      </w:pPr>
      <w:r w:rsidRPr="001E0966">
        <w:rPr>
          <w:rFonts w:ascii="Helvetica" w:eastAsia="Times New Roman" w:hAnsi="Helvetica" w:cs="Helvetica"/>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w:t>
      </w:r>
    </w:p>
    <w:p w:rsidR="00DA041E" w:rsidRDefault="00DA041E" w:rsidP="007E5CBD">
      <w:pPr>
        <w:rPr>
          <w:rFonts w:ascii="Helvetica" w:hAnsi="Helvetica" w:cs="Helvetica"/>
          <w:b/>
        </w:rPr>
      </w:pPr>
    </w:p>
    <w:p w:rsidR="009F7109" w:rsidRPr="00920BB4" w:rsidRDefault="009F7109" w:rsidP="007E5CBD">
      <w:pPr>
        <w:rPr>
          <w:rFonts w:ascii="Helvetica" w:hAnsi="Helvetica" w:cs="Helvetica"/>
          <w:b/>
        </w:rPr>
      </w:pPr>
      <w:r w:rsidRPr="00920BB4">
        <w:rPr>
          <w:rFonts w:ascii="Helvetica" w:hAnsi="Helvetica" w:cs="Helvetica"/>
          <w:b/>
        </w:rPr>
        <w:t xml:space="preserve">Stock Market Performance in 2012-2013 </w:t>
      </w:r>
    </w:p>
    <w:p w:rsidR="00A65E9B" w:rsidRPr="00920BB4" w:rsidRDefault="00A65E9B" w:rsidP="007E5CBD">
      <w:pPr>
        <w:rPr>
          <w:rFonts w:ascii="Helvetica" w:hAnsi="Helvetica" w:cs="Calibri"/>
          <w:b/>
        </w:rPr>
      </w:pPr>
    </w:p>
    <w:p w:rsidR="007456E3" w:rsidRPr="00EC0E4C" w:rsidRDefault="009F7109" w:rsidP="007E5CBD">
      <w:pPr>
        <w:rPr>
          <w:rFonts w:ascii="Helvetica" w:hAnsi="Helvetica" w:cs="Calibri"/>
          <w:b/>
        </w:rPr>
      </w:pPr>
      <w:r w:rsidRPr="00920BB4">
        <w:rPr>
          <w:noProof/>
          <w:lang w:eastAsia="en-GB"/>
        </w:rPr>
        <w:drawing>
          <wp:inline distT="0" distB="0" distL="0" distR="0" wp14:anchorId="6D044443" wp14:editId="57BBB374">
            <wp:extent cx="4844415" cy="2053845"/>
            <wp:effectExtent l="0" t="0" r="0" b="3810"/>
            <wp:docPr id="4" name="Picture 4" descr="Historical Data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ical Data Char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844415" cy="2053845"/>
                    </a:xfrm>
                    <a:prstGeom prst="rect">
                      <a:avLst/>
                    </a:prstGeom>
                    <a:noFill/>
                    <a:ln>
                      <a:noFill/>
                    </a:ln>
                  </pic:spPr>
                </pic:pic>
              </a:graphicData>
            </a:graphic>
          </wp:inline>
        </w:drawing>
      </w:r>
    </w:p>
    <w:p w:rsidR="00EC0E4C" w:rsidRDefault="00EC0E4C" w:rsidP="007E5CBD">
      <w:pPr>
        <w:jc w:val="both"/>
        <w:rPr>
          <w:rFonts w:ascii="Helvetica" w:eastAsia="Times New Roman" w:hAnsi="Helvetica" w:cs="Helvetica"/>
        </w:rPr>
      </w:pPr>
    </w:p>
    <w:p w:rsidR="003D712E" w:rsidRDefault="0087316F" w:rsidP="007E5CBD">
      <w:pPr>
        <w:shd w:val="clear" w:color="auto" w:fill="FFFFFF"/>
        <w:spacing w:after="0" w:line="240" w:lineRule="auto"/>
        <w:jc w:val="both"/>
        <w:rPr>
          <w:rFonts w:ascii="Helvetica" w:eastAsia="Times New Roman" w:hAnsi="Helvetica" w:cs="Helvetica"/>
        </w:rPr>
      </w:pPr>
      <w:r w:rsidRPr="00920BB4">
        <w:rPr>
          <w:rFonts w:ascii="Helvetica" w:eastAsia="Times New Roman" w:hAnsi="Helvetica" w:cs="Helvetica"/>
        </w:rPr>
        <w:t>Goldman Sachs predicts an end of year target for</w:t>
      </w:r>
      <w:r w:rsidR="007173F5">
        <w:rPr>
          <w:rFonts w:ascii="Helvetica" w:eastAsia="Times New Roman" w:hAnsi="Helvetica" w:cs="Helvetica"/>
        </w:rPr>
        <w:t xml:space="preserve"> the index of 73</w:t>
      </w:r>
      <w:r w:rsidRPr="00920BB4">
        <w:rPr>
          <w:rFonts w:ascii="Helvetica" w:eastAsia="Times New Roman" w:hAnsi="Helvetica" w:cs="Helvetica"/>
        </w:rPr>
        <w:t>00. Analysts at Citigroup have also suggested a forecast of 7000, but despite</w:t>
      </w:r>
      <w:r w:rsidRPr="001E0966">
        <w:rPr>
          <w:rFonts w:ascii="Helvetica" w:eastAsia="Times New Roman" w:hAnsi="Helvetica" w:cs="Helvetica"/>
        </w:rPr>
        <w:t xml:space="preserve"> </w:t>
      </w:r>
      <w:r w:rsidRPr="00920BB4">
        <w:rPr>
          <w:rFonts w:ascii="Helvetica" w:eastAsia="Times New Roman" w:hAnsi="Helvetica" w:cs="Helvetica"/>
        </w:rPr>
        <w:t>this optimism, Europe and the prospect of default in the bond markets continues to hau</w:t>
      </w:r>
      <w:r w:rsidR="003D712E">
        <w:rPr>
          <w:rFonts w:ascii="Helvetica" w:eastAsia="Times New Roman" w:hAnsi="Helvetica" w:cs="Helvetica"/>
        </w:rPr>
        <w:t>nt the rise of equities in 2013;</w:t>
      </w:r>
      <w:r w:rsidRPr="00920BB4">
        <w:rPr>
          <w:rFonts w:ascii="Helvetica" w:eastAsia="Times New Roman" w:hAnsi="Helvetica" w:cs="Helvetica"/>
        </w:rPr>
        <w:t xml:space="preserve"> </w:t>
      </w:r>
      <w:r w:rsidR="003D712E" w:rsidRPr="001E0966">
        <w:rPr>
          <w:rFonts w:ascii="Helvetica" w:eastAsia="Times New Roman" w:hAnsi="Helvetica" w:cs="Helvetica"/>
        </w:rPr>
        <w:t xml:space="preserve">but this fear factor is becoming weaker as world economies move out of recession. </w:t>
      </w:r>
    </w:p>
    <w:p w:rsidR="00DA041E" w:rsidRPr="001E0966" w:rsidRDefault="00DA041E" w:rsidP="007E5CBD">
      <w:pPr>
        <w:shd w:val="clear" w:color="auto" w:fill="FFFFFF"/>
        <w:spacing w:after="0" w:line="240" w:lineRule="auto"/>
        <w:jc w:val="both"/>
        <w:rPr>
          <w:rFonts w:ascii="Helvetica" w:eastAsia="Times New Roman" w:hAnsi="Helvetica" w:cs="Helvetica"/>
        </w:rPr>
      </w:pPr>
    </w:p>
    <w:p w:rsidR="00EC0E4C" w:rsidRPr="001E0966" w:rsidRDefault="003D712E" w:rsidP="007E5CBD">
      <w:pPr>
        <w:shd w:val="clear" w:color="auto" w:fill="FFFFFF"/>
        <w:spacing w:after="0" w:line="240" w:lineRule="auto"/>
        <w:jc w:val="both"/>
        <w:rPr>
          <w:rFonts w:ascii="Helvetica" w:eastAsia="Times New Roman" w:hAnsi="Helvetica" w:cs="Helvetica"/>
        </w:rPr>
      </w:pPr>
      <w:r w:rsidRPr="001E0966">
        <w:rPr>
          <w:rFonts w:ascii="Helvetica" w:eastAsia="Times New Roman" w:hAnsi="Helvetica" w:cs="Helvetica"/>
        </w:rPr>
        <w:t xml:space="preserve">If you are seeking income to your scheme through UK equities, the best yielding stocks over the last 12 months in the UK include: Centrica (4.71pc yield), </w:t>
      </w:r>
      <w:proofErr w:type="spellStart"/>
      <w:r w:rsidRPr="001E0966">
        <w:rPr>
          <w:rFonts w:ascii="Helvetica" w:eastAsia="Times New Roman" w:hAnsi="Helvetica" w:cs="Helvetica"/>
        </w:rPr>
        <w:t>Talktalk</w:t>
      </w:r>
      <w:proofErr w:type="spellEnd"/>
      <w:r w:rsidRPr="001E0966">
        <w:rPr>
          <w:rFonts w:ascii="Helvetica" w:eastAsia="Times New Roman" w:hAnsi="Helvetica" w:cs="Helvetica"/>
        </w:rPr>
        <w:t xml:space="preserve"> Telecom (5.3pc), J Sainsbury (4.7pc), Tesco (4.5pc), GlaxoSmithKline (4.6pc) and British American Tobacco (4.4pc). </w:t>
      </w:r>
    </w:p>
    <w:p w:rsidR="007F2730" w:rsidRDefault="007F2730" w:rsidP="007E5CBD">
      <w:pPr>
        <w:shd w:val="clear" w:color="auto" w:fill="FFFFFF"/>
        <w:spacing w:after="0" w:line="240" w:lineRule="auto"/>
        <w:jc w:val="both"/>
        <w:rPr>
          <w:rFonts w:ascii="Helvetica" w:hAnsi="Helvetica" w:cs="Helvetica"/>
          <w:color w:val="282828"/>
          <w:shd w:val="clear" w:color="auto" w:fill="FFFFFF"/>
        </w:rPr>
      </w:pPr>
    </w:p>
    <w:p w:rsidR="00DA041E" w:rsidRDefault="00DA041E" w:rsidP="007E5CBD">
      <w:pPr>
        <w:jc w:val="both"/>
        <w:rPr>
          <w:rFonts w:ascii="Helvetica" w:hAnsi="Helvetica" w:cs="Helvetica"/>
          <w:color w:val="282828"/>
          <w:shd w:val="clear" w:color="auto" w:fill="FFFFFF"/>
        </w:rPr>
      </w:pPr>
    </w:p>
    <w:p w:rsidR="00DA041E" w:rsidRDefault="00DA041E" w:rsidP="007E5CBD">
      <w:pPr>
        <w:jc w:val="both"/>
        <w:rPr>
          <w:rFonts w:ascii="Helvetica" w:hAnsi="Helvetica" w:cs="Helvetica"/>
          <w:color w:val="282828"/>
          <w:shd w:val="clear" w:color="auto" w:fill="FFFFFF"/>
        </w:rPr>
      </w:pPr>
    </w:p>
    <w:p w:rsidR="007E5CBD" w:rsidRDefault="007E5CBD" w:rsidP="007E5CBD">
      <w:pPr>
        <w:jc w:val="both"/>
        <w:rPr>
          <w:rFonts w:ascii="Helvetica" w:hAnsi="Helvetica" w:cs="Helvetica"/>
          <w:color w:val="282828"/>
          <w:shd w:val="clear" w:color="auto" w:fill="FFFFFF"/>
        </w:rPr>
      </w:pPr>
    </w:p>
    <w:p w:rsidR="007E5CBD" w:rsidRDefault="007E5CBD" w:rsidP="007E5CBD">
      <w:pPr>
        <w:jc w:val="both"/>
        <w:rPr>
          <w:rFonts w:ascii="Helvetica" w:hAnsi="Helvetica" w:cs="Helvetica"/>
          <w:color w:val="282828"/>
          <w:shd w:val="clear" w:color="auto" w:fill="FFFFFF"/>
        </w:rPr>
      </w:pPr>
    </w:p>
    <w:p w:rsidR="00DA041E" w:rsidRDefault="00DA041E" w:rsidP="007E5CBD">
      <w:pPr>
        <w:jc w:val="both"/>
        <w:rPr>
          <w:rFonts w:ascii="Helvetica" w:hAnsi="Helvetica" w:cs="Helvetica"/>
          <w:color w:val="282828"/>
          <w:shd w:val="clear" w:color="auto" w:fill="FFFFFF"/>
        </w:rPr>
      </w:pPr>
    </w:p>
    <w:p w:rsidR="00DA041E" w:rsidRDefault="00DA041E" w:rsidP="007E5CBD">
      <w:pPr>
        <w:jc w:val="both"/>
        <w:rPr>
          <w:rFonts w:ascii="Helvetica" w:hAnsi="Helvetica" w:cs="Helvetica"/>
          <w:color w:val="282828"/>
          <w:shd w:val="clear" w:color="auto" w:fill="FFFFFF"/>
        </w:rPr>
      </w:pPr>
    </w:p>
    <w:p w:rsidR="00DA041E" w:rsidRDefault="00DA041E" w:rsidP="007E5CBD">
      <w:pPr>
        <w:jc w:val="both"/>
        <w:rPr>
          <w:rFonts w:ascii="Helvetica" w:hAnsi="Helvetica" w:cs="Helvetica"/>
          <w:color w:val="282828"/>
          <w:shd w:val="clear" w:color="auto" w:fill="FFFFFF"/>
        </w:rPr>
      </w:pPr>
    </w:p>
    <w:p w:rsidR="00DA041E" w:rsidRDefault="00DA041E" w:rsidP="007E5CBD">
      <w:pPr>
        <w:jc w:val="both"/>
        <w:rPr>
          <w:rFonts w:ascii="Helvetica" w:hAnsi="Helvetica" w:cs="Helvetica"/>
          <w:color w:val="282828"/>
          <w:shd w:val="clear" w:color="auto" w:fill="FFFFFF"/>
        </w:rPr>
      </w:pPr>
    </w:p>
    <w:p w:rsidR="007F2730" w:rsidRDefault="003D712E" w:rsidP="007E5CBD">
      <w:pPr>
        <w:jc w:val="both"/>
        <w:rPr>
          <w:rFonts w:ascii="Helvetica" w:hAnsi="Helvetica" w:cs="Helvetica"/>
          <w:color w:val="282828"/>
          <w:shd w:val="clear" w:color="auto" w:fill="FFFFFF"/>
        </w:rPr>
      </w:pPr>
      <w:r w:rsidRPr="003D712E">
        <w:rPr>
          <w:rFonts w:ascii="Helvetica" w:hAnsi="Helvetica" w:cs="Helvetica"/>
          <w:color w:val="282828"/>
          <w:shd w:val="clear" w:color="auto" w:fill="FFFFFF"/>
        </w:rPr>
        <w:lastRenderedPageBreak/>
        <w:t>In respect of best performers over 2012, these include:</w:t>
      </w:r>
    </w:p>
    <w:tbl>
      <w:tblPr>
        <w:tblW w:w="7473" w:type="dxa"/>
        <w:jc w:val="center"/>
        <w:tblCellSpacing w:w="15" w:type="dxa"/>
        <w:shd w:val="clear" w:color="auto" w:fill="CDCDCD"/>
        <w:tblCellMar>
          <w:left w:w="0" w:type="dxa"/>
          <w:right w:w="0" w:type="dxa"/>
        </w:tblCellMar>
        <w:tblLook w:val="04A0" w:firstRow="1" w:lastRow="0" w:firstColumn="1" w:lastColumn="0" w:noHBand="0" w:noVBand="1"/>
      </w:tblPr>
      <w:tblGrid>
        <w:gridCol w:w="718"/>
        <w:gridCol w:w="3387"/>
        <w:gridCol w:w="1335"/>
        <w:gridCol w:w="2033"/>
      </w:tblGrid>
      <w:tr w:rsidR="003D712E" w:rsidRPr="00606227" w:rsidTr="003D712E">
        <w:trPr>
          <w:tblHeader/>
          <w:tblCellSpacing w:w="15" w:type="dxa"/>
          <w:jc w:val="center"/>
        </w:trPr>
        <w:tc>
          <w:tcPr>
            <w:tcW w:w="673" w:type="dxa"/>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vAlign w:val="center"/>
            <w:hideMark/>
          </w:tcPr>
          <w:p w:rsidR="003D712E" w:rsidRPr="00606227" w:rsidRDefault="003D712E" w:rsidP="007E5CBD">
            <w:pPr>
              <w:spacing w:after="0" w:line="360" w:lineRule="atLeast"/>
              <w:rPr>
                <w:rFonts w:ascii="Helvetica" w:eastAsia="Times New Roman" w:hAnsi="Helvetica" w:cs="Helvetica"/>
                <w:color w:val="212121"/>
                <w:lang w:eastAsia="en-GB"/>
              </w:rPr>
            </w:pPr>
            <w:r w:rsidRPr="00606227">
              <w:rPr>
                <w:rFonts w:ascii="Helvetica" w:eastAsia="Times New Roman" w:hAnsi="Helvetica" w:cs="Helvetica"/>
                <w:color w:val="212121"/>
                <w:lang w:eastAsia="en-GB"/>
              </w:rPr>
              <w:t>Rank</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vAlign w:val="center"/>
            <w:hideMark/>
          </w:tcPr>
          <w:p w:rsidR="003D712E" w:rsidRPr="00606227" w:rsidRDefault="003D712E" w:rsidP="007E5CBD">
            <w:pPr>
              <w:spacing w:after="0" w:line="360" w:lineRule="atLeast"/>
              <w:rPr>
                <w:rFonts w:ascii="Helvetica" w:eastAsia="Times New Roman" w:hAnsi="Helvetica" w:cs="Helvetica"/>
                <w:color w:val="212121"/>
                <w:lang w:eastAsia="en-GB"/>
              </w:rPr>
            </w:pPr>
            <w:r w:rsidRPr="00606227">
              <w:rPr>
                <w:rFonts w:ascii="Helvetica" w:eastAsia="Times New Roman" w:hAnsi="Helvetica" w:cs="Helvetica"/>
                <w:color w:val="212121"/>
                <w:lang w:eastAsia="en-GB"/>
              </w:rPr>
              <w:t>Company</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vAlign w:val="center"/>
            <w:hideMark/>
          </w:tcPr>
          <w:p w:rsidR="003D712E" w:rsidRPr="00606227" w:rsidRDefault="003D712E" w:rsidP="007E5CBD">
            <w:pPr>
              <w:spacing w:after="0" w:line="360" w:lineRule="atLeast"/>
              <w:rPr>
                <w:rFonts w:ascii="Helvetica" w:eastAsia="Times New Roman" w:hAnsi="Helvetica" w:cs="Helvetica"/>
                <w:color w:val="212121"/>
                <w:lang w:eastAsia="en-GB"/>
              </w:rPr>
            </w:pPr>
            <w:r w:rsidRPr="00606227">
              <w:rPr>
                <w:rFonts w:ascii="Helvetica" w:eastAsia="Times New Roman" w:hAnsi="Helvetica" w:cs="Helvetica"/>
                <w:color w:val="212121"/>
                <w:lang w:eastAsia="en-GB"/>
              </w:rPr>
              <w:t>% Change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vAlign w:val="center"/>
            <w:hideMark/>
          </w:tcPr>
          <w:p w:rsidR="003D712E" w:rsidRPr="00606227" w:rsidRDefault="003D712E" w:rsidP="007E5CBD">
            <w:pPr>
              <w:spacing w:after="0" w:line="360" w:lineRule="atLeast"/>
              <w:rPr>
                <w:rFonts w:ascii="Helvetica" w:eastAsia="Times New Roman" w:hAnsi="Helvetica" w:cs="Helvetica"/>
                <w:color w:val="212121"/>
                <w:lang w:eastAsia="en-GB"/>
              </w:rPr>
            </w:pPr>
            <w:r w:rsidRPr="00606227">
              <w:rPr>
                <w:rFonts w:ascii="Helvetica" w:eastAsia="Times New Roman" w:hAnsi="Helvetica" w:cs="Helvetica"/>
                <w:color w:val="212121"/>
                <w:lang w:eastAsia="en-GB"/>
              </w:rPr>
              <w:t>Sector</w:t>
            </w:r>
          </w:p>
        </w:tc>
      </w:tr>
      <w:tr w:rsidR="003D712E" w:rsidRPr="00606227" w:rsidTr="003D712E">
        <w:trPr>
          <w:tblCellSpacing w:w="15" w:type="dxa"/>
          <w:jc w:val="center"/>
        </w:trPr>
        <w:tc>
          <w:tcPr>
            <w:tcW w:w="673" w:type="dxa"/>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1</w:t>
            </w:r>
          </w:p>
        </w:tc>
        <w:tc>
          <w:tcPr>
            <w:tcW w:w="0" w:type="auto"/>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Lloyds Banking Group</w:t>
            </w:r>
          </w:p>
        </w:tc>
        <w:tc>
          <w:tcPr>
            <w:tcW w:w="0" w:type="auto"/>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+85.0%</w:t>
            </w:r>
          </w:p>
        </w:tc>
        <w:tc>
          <w:tcPr>
            <w:tcW w:w="0" w:type="auto"/>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Banks</w:t>
            </w:r>
          </w:p>
        </w:tc>
      </w:tr>
      <w:tr w:rsidR="003D712E" w:rsidRPr="00606227" w:rsidTr="003D712E">
        <w:trPr>
          <w:tblCellSpacing w:w="15" w:type="dxa"/>
          <w:jc w:val="center"/>
        </w:trPr>
        <w:tc>
          <w:tcPr>
            <w:tcW w:w="673" w:type="dxa"/>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2</w:t>
            </w:r>
          </w:p>
        </w:tc>
        <w:tc>
          <w:tcPr>
            <w:tcW w:w="0" w:type="auto"/>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Aberdeen Asset Management</w:t>
            </w:r>
          </w:p>
        </w:tc>
        <w:tc>
          <w:tcPr>
            <w:tcW w:w="0" w:type="auto"/>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+73.2%</w:t>
            </w:r>
          </w:p>
        </w:tc>
        <w:tc>
          <w:tcPr>
            <w:tcW w:w="0" w:type="auto"/>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Asset Managers</w:t>
            </w:r>
          </w:p>
        </w:tc>
      </w:tr>
      <w:tr w:rsidR="003D712E" w:rsidRPr="00606227" w:rsidTr="003D712E">
        <w:trPr>
          <w:tblCellSpacing w:w="15" w:type="dxa"/>
          <w:jc w:val="center"/>
        </w:trPr>
        <w:tc>
          <w:tcPr>
            <w:tcW w:w="673" w:type="dxa"/>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3</w:t>
            </w:r>
          </w:p>
        </w:tc>
        <w:tc>
          <w:tcPr>
            <w:tcW w:w="0" w:type="auto"/>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TUI Travel</w:t>
            </w:r>
          </w:p>
        </w:tc>
        <w:tc>
          <w:tcPr>
            <w:tcW w:w="0" w:type="auto"/>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+70.4%</w:t>
            </w:r>
          </w:p>
        </w:tc>
        <w:tc>
          <w:tcPr>
            <w:tcW w:w="0" w:type="auto"/>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Travel &amp; Tourism</w:t>
            </w:r>
          </w:p>
        </w:tc>
      </w:tr>
      <w:tr w:rsidR="003D712E" w:rsidRPr="00606227" w:rsidTr="003D712E">
        <w:trPr>
          <w:tblCellSpacing w:w="15" w:type="dxa"/>
          <w:jc w:val="center"/>
        </w:trPr>
        <w:tc>
          <w:tcPr>
            <w:tcW w:w="673" w:type="dxa"/>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4</w:t>
            </w:r>
          </w:p>
        </w:tc>
        <w:tc>
          <w:tcPr>
            <w:tcW w:w="0" w:type="auto"/>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Standard Life</w:t>
            </w:r>
          </w:p>
        </w:tc>
        <w:tc>
          <w:tcPr>
            <w:tcW w:w="0" w:type="auto"/>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+61.0%</w:t>
            </w:r>
          </w:p>
        </w:tc>
        <w:tc>
          <w:tcPr>
            <w:tcW w:w="0" w:type="auto"/>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Life Insurance</w:t>
            </w:r>
          </w:p>
        </w:tc>
      </w:tr>
      <w:tr w:rsidR="003D712E" w:rsidRPr="00606227" w:rsidTr="003D712E">
        <w:trPr>
          <w:tblCellSpacing w:w="15" w:type="dxa"/>
          <w:jc w:val="center"/>
        </w:trPr>
        <w:tc>
          <w:tcPr>
            <w:tcW w:w="673" w:type="dxa"/>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5</w:t>
            </w:r>
          </w:p>
        </w:tc>
        <w:tc>
          <w:tcPr>
            <w:tcW w:w="0" w:type="auto"/>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Royal Bank of Scotland</w:t>
            </w:r>
          </w:p>
        </w:tc>
        <w:tc>
          <w:tcPr>
            <w:tcW w:w="0" w:type="auto"/>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+60.8%</w:t>
            </w:r>
          </w:p>
        </w:tc>
        <w:tc>
          <w:tcPr>
            <w:tcW w:w="0" w:type="auto"/>
            <w:shd w:val="clear" w:color="auto" w:fill="FFFFFF"/>
            <w:tcMar>
              <w:top w:w="60" w:type="dxa"/>
              <w:left w:w="60" w:type="dxa"/>
              <w:bottom w:w="60" w:type="dxa"/>
              <w:right w:w="60" w:type="dxa"/>
            </w:tcMar>
            <w:hideMark/>
          </w:tcPr>
          <w:p w:rsidR="003D712E" w:rsidRPr="00606227" w:rsidRDefault="003D712E" w:rsidP="007E5CBD">
            <w:pPr>
              <w:spacing w:after="0" w:line="360" w:lineRule="atLeast"/>
              <w:rPr>
                <w:rFonts w:ascii="Helvetica" w:eastAsia="Times New Roman" w:hAnsi="Helvetica" w:cs="Helvetica"/>
                <w:color w:val="3D3D3D"/>
                <w:lang w:eastAsia="en-GB"/>
              </w:rPr>
            </w:pPr>
            <w:r w:rsidRPr="00606227">
              <w:rPr>
                <w:rFonts w:ascii="Helvetica" w:eastAsia="Times New Roman" w:hAnsi="Helvetica" w:cs="Helvetica"/>
                <w:color w:val="3D3D3D"/>
                <w:lang w:eastAsia="en-GB"/>
              </w:rPr>
              <w:t>Banks</w:t>
            </w:r>
          </w:p>
        </w:tc>
      </w:tr>
    </w:tbl>
    <w:p w:rsidR="0087316F" w:rsidRDefault="0087316F" w:rsidP="007E5CBD">
      <w:pPr>
        <w:jc w:val="both"/>
        <w:rPr>
          <w:rFonts w:ascii="Helvetica" w:eastAsia="Times New Roman" w:hAnsi="Helvetica" w:cs="Helvetica"/>
        </w:rPr>
      </w:pPr>
    </w:p>
    <w:p w:rsidR="003D712E" w:rsidRDefault="003D712E" w:rsidP="007E5CBD">
      <w:pPr>
        <w:spacing w:after="0" w:line="300" w:lineRule="atLeast"/>
        <w:jc w:val="both"/>
        <w:rPr>
          <w:rFonts w:ascii="Helvetica" w:hAnsi="Helvetica" w:cs="Helvetica"/>
          <w:b/>
        </w:rPr>
      </w:pPr>
      <w:r w:rsidRPr="00606227">
        <w:rPr>
          <w:rFonts w:ascii="Helvetica" w:hAnsi="Helvetica" w:cs="Helvetica"/>
          <w:b/>
        </w:rPr>
        <w:t xml:space="preserve">If you are seeking to open an online share dealing account, we have negotiated excellent rates for clients – please email us at </w:t>
      </w:r>
      <w:hyperlink r:id="rId12" w:history="1">
        <w:r w:rsidRPr="003D712E">
          <w:rPr>
            <w:rStyle w:val="Hyperlink"/>
            <w:rFonts w:ascii="Helvetica" w:hAnsi="Helvetica" w:cs="Helvetica"/>
            <w:b/>
            <w:color w:val="000000" w:themeColor="text1"/>
          </w:rPr>
          <w:t>info@pensionpractitioner.com</w:t>
        </w:r>
      </w:hyperlink>
      <w:r w:rsidRPr="00606227">
        <w:rPr>
          <w:rFonts w:ascii="Helvetica" w:hAnsi="Helvetica" w:cs="Helvetica"/>
          <w:b/>
        </w:rPr>
        <w:t xml:space="preserve"> with the subject header “trading account” and we will organise this with you or in conjunction with your financial advisor. </w:t>
      </w:r>
    </w:p>
    <w:p w:rsidR="003D712E" w:rsidRDefault="003D712E" w:rsidP="007E5CBD">
      <w:pPr>
        <w:jc w:val="both"/>
        <w:rPr>
          <w:rFonts w:ascii="Helvetica" w:eastAsia="Times New Roman" w:hAnsi="Helvetica" w:cs="Helvetica"/>
        </w:rPr>
      </w:pPr>
    </w:p>
    <w:p w:rsidR="007F2730" w:rsidRDefault="007F2730" w:rsidP="007E5CBD">
      <w:pPr>
        <w:jc w:val="both"/>
        <w:rPr>
          <w:rFonts w:ascii="Helvetica" w:eastAsia="Times New Roman" w:hAnsi="Helvetica" w:cs="Helvetica"/>
        </w:rPr>
      </w:pPr>
    </w:p>
    <w:p w:rsidR="007F2730" w:rsidRDefault="007F2730" w:rsidP="007E5CBD">
      <w:pPr>
        <w:jc w:val="both"/>
        <w:rPr>
          <w:rFonts w:ascii="Helvetica" w:eastAsia="Times New Roman" w:hAnsi="Helvetica" w:cs="Helvetica"/>
        </w:rPr>
      </w:pPr>
    </w:p>
    <w:p w:rsidR="007F2730" w:rsidRDefault="007F2730" w:rsidP="007E5CBD">
      <w:pPr>
        <w:jc w:val="both"/>
        <w:rPr>
          <w:rFonts w:ascii="Helvetica" w:eastAsia="Times New Roman" w:hAnsi="Helvetica" w:cs="Helvetica"/>
        </w:rPr>
      </w:pPr>
    </w:p>
    <w:p w:rsidR="007F2730" w:rsidRDefault="007F2730" w:rsidP="007E5CBD">
      <w:pPr>
        <w:jc w:val="both"/>
        <w:rPr>
          <w:rFonts w:ascii="Helvetica" w:eastAsia="Times New Roman" w:hAnsi="Helvetica" w:cs="Helvetica"/>
        </w:rPr>
      </w:pPr>
    </w:p>
    <w:p w:rsidR="007F2730" w:rsidRDefault="007F2730" w:rsidP="007E5CBD">
      <w:pPr>
        <w:jc w:val="both"/>
        <w:rPr>
          <w:rFonts w:ascii="Helvetica" w:eastAsia="Times New Roman" w:hAnsi="Helvetica" w:cs="Helvetica"/>
        </w:rPr>
      </w:pPr>
    </w:p>
    <w:p w:rsidR="007F2730" w:rsidRDefault="007F2730" w:rsidP="007E5CBD">
      <w:pPr>
        <w:jc w:val="both"/>
        <w:rPr>
          <w:rFonts w:ascii="Helvetica" w:eastAsia="Times New Roman" w:hAnsi="Helvetica" w:cs="Helvetica"/>
        </w:rPr>
      </w:pPr>
    </w:p>
    <w:p w:rsidR="007F2730" w:rsidRDefault="007F2730" w:rsidP="007E5CBD">
      <w:pPr>
        <w:jc w:val="both"/>
        <w:rPr>
          <w:rFonts w:ascii="Helvetica" w:eastAsia="Times New Roman" w:hAnsi="Helvetica" w:cs="Helvetica"/>
        </w:rPr>
      </w:pPr>
    </w:p>
    <w:p w:rsidR="007F2730" w:rsidRDefault="007F2730" w:rsidP="007E5CBD">
      <w:pPr>
        <w:jc w:val="both"/>
        <w:rPr>
          <w:rFonts w:ascii="Helvetica" w:eastAsia="Times New Roman" w:hAnsi="Helvetica" w:cs="Helvetica"/>
        </w:rPr>
      </w:pPr>
    </w:p>
    <w:p w:rsidR="007F2730" w:rsidRDefault="007F2730" w:rsidP="007E5CBD">
      <w:pPr>
        <w:jc w:val="both"/>
        <w:rPr>
          <w:rFonts w:ascii="Helvetica" w:eastAsia="Times New Roman" w:hAnsi="Helvetica" w:cs="Helvetica"/>
        </w:rPr>
      </w:pPr>
    </w:p>
    <w:p w:rsidR="007F2730" w:rsidRDefault="007F2730" w:rsidP="007E5CBD">
      <w:pPr>
        <w:jc w:val="both"/>
        <w:rPr>
          <w:rFonts w:ascii="Helvetica" w:eastAsia="Times New Roman" w:hAnsi="Helvetica" w:cs="Helvetica"/>
        </w:rPr>
      </w:pPr>
    </w:p>
    <w:p w:rsidR="007F2730" w:rsidRDefault="007F2730" w:rsidP="007E5CBD">
      <w:pPr>
        <w:jc w:val="both"/>
        <w:rPr>
          <w:rFonts w:ascii="Helvetica" w:eastAsia="Times New Roman" w:hAnsi="Helvetica" w:cs="Helvetica"/>
        </w:rPr>
      </w:pPr>
    </w:p>
    <w:p w:rsidR="007F2730" w:rsidRDefault="007F2730" w:rsidP="007E5CBD">
      <w:pPr>
        <w:jc w:val="both"/>
        <w:rPr>
          <w:rFonts w:ascii="Helvetica" w:eastAsia="Times New Roman" w:hAnsi="Helvetica" w:cs="Helvetica"/>
        </w:rPr>
      </w:pPr>
    </w:p>
    <w:p w:rsidR="007E5CBD" w:rsidRDefault="007E5CBD" w:rsidP="007E5CBD">
      <w:pPr>
        <w:jc w:val="both"/>
        <w:rPr>
          <w:rFonts w:ascii="Helvetica" w:eastAsia="Times New Roman" w:hAnsi="Helvetica" w:cs="Helvetica"/>
        </w:rPr>
      </w:pPr>
    </w:p>
    <w:p w:rsidR="007E5CBD" w:rsidRDefault="007E5CBD" w:rsidP="007E5CBD">
      <w:pPr>
        <w:jc w:val="both"/>
        <w:rPr>
          <w:rFonts w:ascii="Helvetica" w:eastAsia="Times New Roman" w:hAnsi="Helvetica" w:cs="Helvetica"/>
        </w:rPr>
      </w:pPr>
    </w:p>
    <w:p w:rsidR="007F2730" w:rsidRDefault="007F2730" w:rsidP="007E5CBD">
      <w:pPr>
        <w:jc w:val="both"/>
        <w:rPr>
          <w:rFonts w:ascii="Helvetica" w:eastAsia="Times New Roman" w:hAnsi="Helvetica" w:cs="Helvetica"/>
        </w:rPr>
      </w:pPr>
    </w:p>
    <w:p w:rsidR="007F2730" w:rsidRDefault="007F2730" w:rsidP="007E5CBD">
      <w:pPr>
        <w:jc w:val="both"/>
        <w:rPr>
          <w:rFonts w:ascii="Helvetica" w:eastAsia="Times New Roman" w:hAnsi="Helvetica" w:cs="Helvetica"/>
        </w:rPr>
      </w:pPr>
    </w:p>
    <w:p w:rsidR="00DA041E" w:rsidRDefault="00DA041E" w:rsidP="007E5CBD">
      <w:pPr>
        <w:rPr>
          <w:rFonts w:ascii="Helvetica" w:eastAsia="Times New Roman" w:hAnsi="Helvetica" w:cs="Helvetica"/>
          <w:b/>
        </w:rPr>
      </w:pPr>
    </w:p>
    <w:p w:rsidR="0087316F" w:rsidRPr="00920BB4" w:rsidRDefault="0087316F" w:rsidP="007E5CBD">
      <w:pPr>
        <w:rPr>
          <w:rFonts w:ascii="Helvetica" w:eastAsia="Times New Roman" w:hAnsi="Helvetica" w:cs="Helvetica"/>
          <w:b/>
        </w:rPr>
      </w:pPr>
      <w:r w:rsidRPr="00920BB4">
        <w:rPr>
          <w:rFonts w:ascii="Helvetica" w:eastAsia="Times New Roman" w:hAnsi="Helvetica" w:cs="Helvetica"/>
          <w:b/>
        </w:rPr>
        <w:lastRenderedPageBreak/>
        <w:t>Property</w:t>
      </w:r>
    </w:p>
    <w:p w:rsidR="00FD1158" w:rsidRPr="001E0966" w:rsidRDefault="00FD1158" w:rsidP="007E5CBD">
      <w:pPr>
        <w:shd w:val="clear" w:color="auto" w:fill="FFFFFF"/>
        <w:spacing w:after="0" w:line="240" w:lineRule="auto"/>
        <w:jc w:val="both"/>
        <w:rPr>
          <w:rFonts w:ascii="Helvetica" w:eastAsia="Times New Roman" w:hAnsi="Helvetica" w:cs="Helvetica"/>
        </w:rPr>
      </w:pPr>
      <w:r w:rsidRPr="001E0966">
        <w:rPr>
          <w:rFonts w:ascii="Helvetica" w:eastAsia="Times New Roman" w:hAnsi="Helvetica" w:cs="Helvetica"/>
        </w:rPr>
        <w:t xml:space="preserve">In our 2012 trustee report, we advised that property yields were not expected to improve in 2013 and this has been </w:t>
      </w:r>
      <w:r w:rsidR="00F005AE" w:rsidRPr="001E0966">
        <w:rPr>
          <w:rFonts w:ascii="Helvetica" w:eastAsia="Times New Roman" w:hAnsi="Helvetica" w:cs="Helvetica"/>
        </w:rPr>
        <w:t>bo</w:t>
      </w:r>
      <w:r w:rsidRPr="001E0966">
        <w:rPr>
          <w:rFonts w:ascii="Helvetica" w:eastAsia="Times New Roman" w:hAnsi="Helvetica" w:cs="Helvetica"/>
        </w:rPr>
        <w:t xml:space="preserve">rne out in the first quarter of 2013. </w:t>
      </w:r>
    </w:p>
    <w:p w:rsidR="00FD1158" w:rsidRPr="001E0966" w:rsidRDefault="00FD1158" w:rsidP="007E5CBD">
      <w:pPr>
        <w:shd w:val="clear" w:color="auto" w:fill="FFFFFF"/>
        <w:spacing w:after="0" w:line="240" w:lineRule="auto"/>
        <w:jc w:val="both"/>
        <w:rPr>
          <w:rFonts w:ascii="Helvetica" w:eastAsia="Times New Roman" w:hAnsi="Helvetica" w:cs="Helvetica"/>
        </w:rPr>
      </w:pPr>
    </w:p>
    <w:p w:rsidR="00FD1158" w:rsidRPr="001E0966" w:rsidRDefault="00FD1158" w:rsidP="007E5CBD">
      <w:pPr>
        <w:shd w:val="clear" w:color="auto" w:fill="FFFFFF"/>
        <w:spacing w:after="0" w:line="240" w:lineRule="auto"/>
        <w:jc w:val="both"/>
        <w:rPr>
          <w:rFonts w:ascii="Helvetica" w:eastAsia="Times New Roman" w:hAnsi="Helvetica" w:cs="Helvetica"/>
        </w:rPr>
      </w:pPr>
      <w:r w:rsidRPr="001E0966">
        <w:rPr>
          <w:rFonts w:ascii="Helvetica" w:eastAsia="Times New Roman" w:hAnsi="Helvetica" w:cs="Helvetica"/>
        </w:rPr>
        <w:t>The table below breaks down where the yields are which includes high street shops, to office blocks and warehouses both inside and outside London.</w:t>
      </w:r>
    </w:p>
    <w:p w:rsidR="0087316F" w:rsidRDefault="0087316F" w:rsidP="007E5CBD">
      <w:pPr>
        <w:rPr>
          <w:rFonts w:ascii="Helvetica" w:eastAsia="Times New Roman" w:hAnsi="Helvetica" w:cs="Helvetica"/>
        </w:rPr>
      </w:pPr>
    </w:p>
    <w:p w:rsidR="00EC0E4C" w:rsidRPr="00920BB4" w:rsidRDefault="00EC0E4C" w:rsidP="007E5CBD">
      <w:pPr>
        <w:rPr>
          <w:rFonts w:ascii="Helvetica" w:eastAsia="Times New Roman" w:hAnsi="Helvetica" w:cs="Helvetica"/>
        </w:rPr>
      </w:pPr>
    </w:p>
    <w:tbl>
      <w:tblPr>
        <w:tblW w:w="6821" w:type="dxa"/>
        <w:jc w:val="center"/>
        <w:tblLook w:val="04A0" w:firstRow="1" w:lastRow="0" w:firstColumn="1" w:lastColumn="0" w:noHBand="0" w:noVBand="1"/>
      </w:tblPr>
      <w:tblGrid>
        <w:gridCol w:w="3360"/>
        <w:gridCol w:w="1680"/>
        <w:gridCol w:w="1781"/>
      </w:tblGrid>
      <w:tr w:rsidR="00FD1158" w:rsidRPr="00606227" w:rsidTr="00EC0E4C">
        <w:trPr>
          <w:trHeight w:val="379"/>
          <w:jc w:val="center"/>
        </w:trPr>
        <w:tc>
          <w:tcPr>
            <w:tcW w:w="6821" w:type="dxa"/>
            <w:gridSpan w:val="3"/>
            <w:tcBorders>
              <w:top w:val="nil"/>
              <w:left w:val="nil"/>
              <w:bottom w:val="nil"/>
              <w:right w:val="nil"/>
            </w:tcBorders>
            <w:shd w:val="clear" w:color="auto" w:fill="auto"/>
            <w:hideMark/>
          </w:tcPr>
          <w:p w:rsidR="00FD1158" w:rsidRPr="00606227" w:rsidRDefault="00FD1158" w:rsidP="007E5CBD">
            <w:pPr>
              <w:spacing w:after="0" w:line="240" w:lineRule="auto"/>
              <w:rPr>
                <w:rFonts w:ascii="Helvetica" w:eastAsia="Times New Roman" w:hAnsi="Helvetica" w:cs="Helvetica"/>
                <w:b/>
                <w:bCs/>
                <w:color w:val="006A4D"/>
                <w:lang w:eastAsia="en-GB"/>
              </w:rPr>
            </w:pPr>
            <w:r w:rsidRPr="00606227">
              <w:rPr>
                <w:rFonts w:ascii="Helvetica" w:eastAsia="Times New Roman" w:hAnsi="Helvetica" w:cs="Helvetica"/>
                <w:b/>
                <w:bCs/>
                <w:color w:val="006A4D"/>
                <w:lang w:eastAsia="en-GB"/>
              </w:rPr>
              <w:t>UK PROPERTY INVESTMENT YIELDS</w:t>
            </w:r>
          </w:p>
        </w:tc>
      </w:tr>
      <w:tr w:rsidR="00FD1158" w:rsidRPr="00606227" w:rsidTr="00EC0E4C">
        <w:trPr>
          <w:trHeight w:val="255"/>
          <w:jc w:val="center"/>
        </w:trPr>
        <w:tc>
          <w:tcPr>
            <w:tcW w:w="3360" w:type="dxa"/>
            <w:tcBorders>
              <w:top w:val="nil"/>
              <w:left w:val="nil"/>
              <w:bottom w:val="nil"/>
              <w:right w:val="nil"/>
            </w:tcBorders>
            <w:shd w:val="clear" w:color="auto" w:fill="auto"/>
            <w:noWrap/>
            <w:hideMark/>
          </w:tcPr>
          <w:p w:rsidR="00FD1158" w:rsidRPr="00606227" w:rsidRDefault="00FD1158" w:rsidP="007E5CBD">
            <w:pPr>
              <w:spacing w:after="0" w:line="240" w:lineRule="auto"/>
              <w:rPr>
                <w:rFonts w:ascii="Helvetica" w:eastAsia="Times New Roman" w:hAnsi="Helvetica" w:cs="Helvetica"/>
                <w:color w:val="000000"/>
                <w:lang w:eastAsia="en-GB"/>
              </w:rPr>
            </w:pPr>
          </w:p>
        </w:tc>
        <w:tc>
          <w:tcPr>
            <w:tcW w:w="1680" w:type="dxa"/>
            <w:tcBorders>
              <w:top w:val="nil"/>
              <w:left w:val="nil"/>
              <w:bottom w:val="nil"/>
              <w:right w:val="nil"/>
            </w:tcBorders>
            <w:shd w:val="clear" w:color="auto" w:fill="auto"/>
            <w:noWrap/>
            <w:hideMark/>
          </w:tcPr>
          <w:p w:rsidR="00FD1158" w:rsidRPr="00606227" w:rsidRDefault="00FD1158" w:rsidP="007E5CBD">
            <w:pPr>
              <w:spacing w:after="0" w:line="240" w:lineRule="auto"/>
              <w:rPr>
                <w:rFonts w:ascii="Helvetica" w:eastAsia="Times New Roman" w:hAnsi="Helvetica" w:cs="Helvetica"/>
                <w:color w:val="000000"/>
                <w:lang w:eastAsia="en-GB"/>
              </w:rPr>
            </w:pPr>
          </w:p>
        </w:tc>
        <w:tc>
          <w:tcPr>
            <w:tcW w:w="1781" w:type="dxa"/>
            <w:tcBorders>
              <w:top w:val="nil"/>
              <w:left w:val="nil"/>
              <w:bottom w:val="nil"/>
              <w:right w:val="nil"/>
            </w:tcBorders>
            <w:shd w:val="clear" w:color="auto" w:fill="auto"/>
            <w:noWrap/>
            <w:hideMark/>
          </w:tcPr>
          <w:p w:rsidR="00FD1158" w:rsidRPr="00606227" w:rsidRDefault="00FD1158" w:rsidP="007E5CBD">
            <w:pPr>
              <w:spacing w:after="0" w:line="240" w:lineRule="auto"/>
              <w:rPr>
                <w:rFonts w:ascii="Helvetica" w:eastAsia="Times New Roman" w:hAnsi="Helvetica" w:cs="Helvetica"/>
                <w:color w:val="000000"/>
                <w:lang w:eastAsia="en-GB"/>
              </w:rPr>
            </w:pPr>
          </w:p>
        </w:tc>
      </w:tr>
      <w:tr w:rsidR="00FD1158" w:rsidRPr="00606227" w:rsidTr="00EC0E4C">
        <w:trPr>
          <w:trHeight w:val="360"/>
          <w:jc w:val="center"/>
        </w:trPr>
        <w:tc>
          <w:tcPr>
            <w:tcW w:w="3360" w:type="dxa"/>
            <w:tcBorders>
              <w:top w:val="single" w:sz="4" w:space="0" w:color="005137"/>
              <w:left w:val="nil"/>
              <w:bottom w:val="single" w:sz="4" w:space="0" w:color="005137"/>
              <w:right w:val="nil"/>
            </w:tcBorders>
            <w:shd w:val="clear" w:color="auto" w:fill="auto"/>
            <w:hideMark/>
          </w:tcPr>
          <w:p w:rsidR="00FD1158" w:rsidRPr="00606227" w:rsidRDefault="00FD1158" w:rsidP="007E5CBD">
            <w:pPr>
              <w:spacing w:after="0" w:line="240" w:lineRule="auto"/>
              <w:jc w:val="right"/>
              <w:rPr>
                <w:rFonts w:ascii="Helvetica" w:eastAsia="Times New Roman" w:hAnsi="Helvetica" w:cs="Helvetica"/>
                <w:b/>
                <w:bCs/>
                <w:color w:val="244062"/>
                <w:lang w:eastAsia="en-GB"/>
              </w:rPr>
            </w:pPr>
            <w:r w:rsidRPr="00606227">
              <w:rPr>
                <w:rFonts w:ascii="Helvetica" w:eastAsia="Times New Roman" w:hAnsi="Helvetica" w:cs="Helvetica"/>
                <w:b/>
                <w:bCs/>
                <w:color w:val="244062"/>
                <w:lang w:eastAsia="en-GB"/>
              </w:rPr>
              <w:t> </w:t>
            </w:r>
          </w:p>
        </w:tc>
        <w:tc>
          <w:tcPr>
            <w:tcW w:w="1680" w:type="dxa"/>
            <w:tcBorders>
              <w:top w:val="single" w:sz="4" w:space="0" w:color="005137"/>
              <w:left w:val="single" w:sz="4" w:space="0" w:color="FFFFFF"/>
              <w:bottom w:val="single" w:sz="4" w:space="0" w:color="005137"/>
              <w:right w:val="single" w:sz="4" w:space="0" w:color="FFFFFF"/>
            </w:tcBorders>
            <w:shd w:val="clear" w:color="auto" w:fill="auto"/>
            <w:hideMark/>
          </w:tcPr>
          <w:p w:rsidR="00FD1158" w:rsidRPr="00606227" w:rsidRDefault="00FD1158" w:rsidP="007E5CBD">
            <w:pPr>
              <w:spacing w:after="0" w:line="240" w:lineRule="auto"/>
              <w:jc w:val="center"/>
              <w:rPr>
                <w:rFonts w:ascii="Helvetica" w:eastAsia="Times New Roman" w:hAnsi="Helvetica" w:cs="Helvetica"/>
                <w:b/>
                <w:bCs/>
                <w:lang w:eastAsia="en-GB"/>
              </w:rPr>
            </w:pPr>
            <w:r w:rsidRPr="00606227">
              <w:rPr>
                <w:rFonts w:ascii="Helvetica" w:eastAsia="Times New Roman" w:hAnsi="Helvetica" w:cs="Helvetica"/>
                <w:b/>
                <w:bCs/>
                <w:lang w:eastAsia="en-GB"/>
              </w:rPr>
              <w:t>Apr-13</w:t>
            </w:r>
          </w:p>
        </w:tc>
        <w:tc>
          <w:tcPr>
            <w:tcW w:w="1781" w:type="dxa"/>
            <w:tcBorders>
              <w:top w:val="single" w:sz="4" w:space="0" w:color="005137"/>
              <w:left w:val="nil"/>
              <w:bottom w:val="single" w:sz="4" w:space="0" w:color="005137"/>
              <w:right w:val="nil"/>
            </w:tcBorders>
            <w:shd w:val="clear" w:color="auto" w:fill="auto"/>
            <w:hideMark/>
          </w:tcPr>
          <w:p w:rsidR="00FD1158" w:rsidRPr="00606227" w:rsidRDefault="00FD1158" w:rsidP="007E5CBD">
            <w:pPr>
              <w:spacing w:after="0" w:line="240" w:lineRule="auto"/>
              <w:jc w:val="center"/>
              <w:rPr>
                <w:rFonts w:ascii="Helvetica" w:eastAsia="Times New Roman" w:hAnsi="Helvetica" w:cs="Helvetica"/>
                <w:b/>
                <w:bCs/>
                <w:lang w:eastAsia="en-GB"/>
              </w:rPr>
            </w:pPr>
            <w:r w:rsidRPr="00606227">
              <w:rPr>
                <w:rFonts w:ascii="Helvetica" w:eastAsia="Times New Roman" w:hAnsi="Helvetica" w:cs="Helvetica"/>
                <w:b/>
                <w:bCs/>
                <w:lang w:eastAsia="en-GB"/>
              </w:rPr>
              <w:t>Trend</w:t>
            </w:r>
          </w:p>
        </w:tc>
      </w:tr>
      <w:tr w:rsidR="00FD1158" w:rsidRPr="00606227" w:rsidTr="00EC0E4C">
        <w:trPr>
          <w:trHeight w:val="319"/>
          <w:jc w:val="center"/>
        </w:trPr>
        <w:tc>
          <w:tcPr>
            <w:tcW w:w="3360" w:type="dxa"/>
            <w:tcBorders>
              <w:top w:val="nil"/>
              <w:left w:val="nil"/>
              <w:bottom w:val="nil"/>
              <w:right w:val="nil"/>
            </w:tcBorders>
            <w:shd w:val="clear" w:color="auto" w:fill="auto"/>
            <w:hideMark/>
          </w:tcPr>
          <w:p w:rsidR="00FD1158" w:rsidRPr="00606227" w:rsidRDefault="00FD1158" w:rsidP="007E5CBD">
            <w:pPr>
              <w:spacing w:after="0" w:line="240" w:lineRule="auto"/>
              <w:rPr>
                <w:rFonts w:ascii="Helvetica" w:eastAsia="Times New Roman" w:hAnsi="Helvetica" w:cs="Helvetica"/>
                <w:b/>
                <w:bCs/>
                <w:lang w:eastAsia="en-GB"/>
              </w:rPr>
            </w:pPr>
            <w:r w:rsidRPr="00606227">
              <w:rPr>
                <w:rFonts w:ascii="Helvetica" w:eastAsia="Times New Roman" w:hAnsi="Helvetica" w:cs="Helvetica"/>
                <w:b/>
                <w:bCs/>
                <w:lang w:eastAsia="en-GB"/>
              </w:rPr>
              <w:t>HIGH STREET SHOPS</w:t>
            </w:r>
          </w:p>
        </w:tc>
        <w:tc>
          <w:tcPr>
            <w:tcW w:w="1680" w:type="dxa"/>
            <w:tcBorders>
              <w:top w:val="nil"/>
              <w:left w:val="single" w:sz="4" w:space="0" w:color="FFFFFF"/>
              <w:bottom w:val="single" w:sz="4" w:space="0" w:color="005137"/>
              <w:right w:val="nil"/>
            </w:tcBorders>
            <w:shd w:val="clear" w:color="auto" w:fill="auto"/>
            <w:hideMark/>
          </w:tcPr>
          <w:p w:rsidR="00FD1158" w:rsidRPr="00606227" w:rsidRDefault="00FD1158" w:rsidP="007E5CBD">
            <w:pPr>
              <w:spacing w:after="0" w:line="240" w:lineRule="auto"/>
              <w:jc w:val="center"/>
              <w:rPr>
                <w:rFonts w:ascii="Helvetica" w:eastAsia="Times New Roman" w:hAnsi="Helvetica" w:cs="Helvetica"/>
                <w:b/>
                <w:bCs/>
                <w:lang w:eastAsia="en-GB"/>
              </w:rPr>
            </w:pPr>
            <w:r w:rsidRPr="00606227">
              <w:rPr>
                <w:rFonts w:ascii="Helvetica" w:eastAsia="Times New Roman" w:hAnsi="Helvetica" w:cs="Helvetica"/>
                <w:b/>
                <w:bCs/>
                <w:lang w:eastAsia="en-GB"/>
              </w:rPr>
              <w:t>%</w:t>
            </w:r>
          </w:p>
        </w:tc>
        <w:tc>
          <w:tcPr>
            <w:tcW w:w="1781" w:type="dxa"/>
            <w:tcBorders>
              <w:top w:val="nil"/>
              <w:left w:val="nil"/>
              <w:bottom w:val="nil"/>
              <w:right w:val="nil"/>
            </w:tcBorders>
            <w:shd w:val="clear" w:color="auto" w:fill="auto"/>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 </w:t>
            </w:r>
          </w:p>
        </w:tc>
      </w:tr>
      <w:tr w:rsidR="00FD1158" w:rsidRPr="00606227" w:rsidTr="00EC0E4C">
        <w:trPr>
          <w:trHeight w:val="342"/>
          <w:jc w:val="center"/>
        </w:trPr>
        <w:tc>
          <w:tcPr>
            <w:tcW w:w="3360" w:type="dxa"/>
            <w:tcBorders>
              <w:top w:val="nil"/>
              <w:left w:val="nil"/>
              <w:bottom w:val="nil"/>
              <w:right w:val="nil"/>
            </w:tcBorders>
            <w:shd w:val="clear" w:color="auto" w:fill="auto"/>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Central London</w:t>
            </w:r>
          </w:p>
        </w:tc>
        <w:tc>
          <w:tcPr>
            <w:tcW w:w="1680" w:type="dxa"/>
            <w:tcBorders>
              <w:top w:val="nil"/>
              <w:left w:val="nil"/>
              <w:bottom w:val="single" w:sz="4" w:space="0" w:color="DFF1D3"/>
              <w:right w:val="single" w:sz="4" w:space="0" w:color="FFFFFF"/>
            </w:tcBorders>
            <w:shd w:val="clear" w:color="000000" w:fill="DFF1D3"/>
            <w:hideMark/>
          </w:tcPr>
          <w:p w:rsidR="00FD1158" w:rsidRPr="00606227" w:rsidRDefault="00FD1158" w:rsidP="007E5CBD">
            <w:pPr>
              <w:spacing w:after="0" w:line="240" w:lineRule="auto"/>
              <w:jc w:val="center"/>
              <w:rPr>
                <w:rFonts w:ascii="Helvetica" w:eastAsia="Times New Roman" w:hAnsi="Helvetica" w:cs="Helvetica"/>
                <w:color w:val="000000"/>
                <w:lang w:eastAsia="en-GB"/>
              </w:rPr>
            </w:pPr>
            <w:r w:rsidRPr="00606227">
              <w:rPr>
                <w:rFonts w:ascii="Helvetica" w:eastAsia="Times New Roman" w:hAnsi="Helvetica" w:cs="Helvetica"/>
                <w:color w:val="000000"/>
                <w:lang w:eastAsia="en-GB"/>
              </w:rPr>
              <w:t>3.50</w:t>
            </w:r>
          </w:p>
        </w:tc>
        <w:tc>
          <w:tcPr>
            <w:tcW w:w="1781" w:type="dxa"/>
            <w:tcBorders>
              <w:top w:val="nil"/>
              <w:left w:val="nil"/>
              <w:bottom w:val="single" w:sz="4" w:space="0" w:color="DFF1D3"/>
              <w:right w:val="nil"/>
            </w:tcBorders>
            <w:shd w:val="clear" w:color="000000" w:fill="DFF1D3"/>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Stable</w:t>
            </w:r>
          </w:p>
        </w:tc>
      </w:tr>
      <w:tr w:rsidR="00FD1158" w:rsidRPr="00606227" w:rsidTr="00EC0E4C">
        <w:trPr>
          <w:trHeight w:val="342"/>
          <w:jc w:val="center"/>
        </w:trPr>
        <w:tc>
          <w:tcPr>
            <w:tcW w:w="3360" w:type="dxa"/>
            <w:tcBorders>
              <w:top w:val="nil"/>
              <w:left w:val="nil"/>
              <w:bottom w:val="nil"/>
              <w:right w:val="nil"/>
            </w:tcBorders>
            <w:shd w:val="clear" w:color="auto" w:fill="auto"/>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Prime</w:t>
            </w:r>
          </w:p>
        </w:tc>
        <w:tc>
          <w:tcPr>
            <w:tcW w:w="1680" w:type="dxa"/>
            <w:tcBorders>
              <w:top w:val="nil"/>
              <w:left w:val="nil"/>
              <w:bottom w:val="single" w:sz="4" w:space="0" w:color="DFF1D3"/>
              <w:right w:val="single" w:sz="4" w:space="0" w:color="FFFFFF"/>
            </w:tcBorders>
            <w:shd w:val="clear" w:color="000000" w:fill="DFF1D3"/>
            <w:hideMark/>
          </w:tcPr>
          <w:p w:rsidR="00FD1158" w:rsidRPr="00606227" w:rsidRDefault="00FD1158" w:rsidP="007E5CBD">
            <w:pPr>
              <w:spacing w:after="0" w:line="240" w:lineRule="auto"/>
              <w:jc w:val="center"/>
              <w:rPr>
                <w:rFonts w:ascii="Helvetica" w:eastAsia="Times New Roman" w:hAnsi="Helvetica" w:cs="Helvetica"/>
                <w:color w:val="000000"/>
                <w:lang w:eastAsia="en-GB"/>
              </w:rPr>
            </w:pPr>
            <w:r w:rsidRPr="00606227">
              <w:rPr>
                <w:rFonts w:ascii="Helvetica" w:eastAsia="Times New Roman" w:hAnsi="Helvetica" w:cs="Helvetica"/>
                <w:color w:val="000000"/>
                <w:lang w:eastAsia="en-GB"/>
              </w:rPr>
              <w:t>4.85</w:t>
            </w:r>
          </w:p>
        </w:tc>
        <w:tc>
          <w:tcPr>
            <w:tcW w:w="1781" w:type="dxa"/>
            <w:tcBorders>
              <w:top w:val="nil"/>
              <w:left w:val="nil"/>
              <w:bottom w:val="single" w:sz="4" w:space="0" w:color="DFF1D3"/>
              <w:right w:val="nil"/>
            </w:tcBorders>
            <w:shd w:val="clear" w:color="000000" w:fill="DFF1D3"/>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Weaker</w:t>
            </w:r>
          </w:p>
        </w:tc>
      </w:tr>
      <w:tr w:rsidR="00FD1158" w:rsidRPr="00606227" w:rsidTr="00EC0E4C">
        <w:trPr>
          <w:trHeight w:val="319"/>
          <w:jc w:val="center"/>
        </w:trPr>
        <w:tc>
          <w:tcPr>
            <w:tcW w:w="6821" w:type="dxa"/>
            <w:gridSpan w:val="3"/>
            <w:tcBorders>
              <w:top w:val="nil"/>
              <w:left w:val="nil"/>
              <w:bottom w:val="nil"/>
              <w:right w:val="nil"/>
            </w:tcBorders>
            <w:shd w:val="clear" w:color="000000" w:fill="005137"/>
            <w:hideMark/>
          </w:tcPr>
          <w:p w:rsidR="00FD1158" w:rsidRPr="00606227" w:rsidRDefault="00FD1158" w:rsidP="007E5CBD">
            <w:pPr>
              <w:spacing w:after="0" w:line="240" w:lineRule="auto"/>
              <w:rPr>
                <w:rFonts w:ascii="Helvetica" w:eastAsia="Times New Roman" w:hAnsi="Helvetica" w:cs="Helvetica"/>
                <w:b/>
                <w:bCs/>
                <w:color w:val="FFFFFF"/>
                <w:lang w:eastAsia="en-GB"/>
              </w:rPr>
            </w:pPr>
            <w:r w:rsidRPr="00606227">
              <w:rPr>
                <w:rFonts w:ascii="Helvetica" w:eastAsia="Times New Roman" w:hAnsi="Helvetica" w:cs="Helvetica"/>
                <w:b/>
                <w:bCs/>
                <w:color w:val="FFFFFF"/>
                <w:lang w:eastAsia="en-GB"/>
              </w:rPr>
              <w:t>SUPERMARKETS</w:t>
            </w:r>
          </w:p>
        </w:tc>
      </w:tr>
      <w:tr w:rsidR="00FD1158" w:rsidRPr="00606227" w:rsidTr="00EC0E4C">
        <w:trPr>
          <w:trHeight w:val="360"/>
          <w:jc w:val="center"/>
        </w:trPr>
        <w:tc>
          <w:tcPr>
            <w:tcW w:w="3360" w:type="dxa"/>
            <w:tcBorders>
              <w:top w:val="nil"/>
              <w:left w:val="nil"/>
              <w:bottom w:val="single" w:sz="4" w:space="0" w:color="005137"/>
              <w:right w:val="nil"/>
            </w:tcBorders>
            <w:shd w:val="clear" w:color="auto" w:fill="auto"/>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Prime</w:t>
            </w:r>
          </w:p>
        </w:tc>
        <w:tc>
          <w:tcPr>
            <w:tcW w:w="1680" w:type="dxa"/>
            <w:tcBorders>
              <w:top w:val="single" w:sz="4" w:space="0" w:color="DFF1D3"/>
              <w:left w:val="nil"/>
              <w:bottom w:val="single" w:sz="4" w:space="0" w:color="DFF1D3"/>
              <w:right w:val="single" w:sz="4" w:space="0" w:color="FFFFFF"/>
            </w:tcBorders>
            <w:shd w:val="clear" w:color="000000" w:fill="DFF1D3"/>
            <w:hideMark/>
          </w:tcPr>
          <w:p w:rsidR="00FD1158" w:rsidRPr="00606227" w:rsidRDefault="00FD1158" w:rsidP="007E5CBD">
            <w:pPr>
              <w:spacing w:after="0" w:line="240" w:lineRule="auto"/>
              <w:jc w:val="center"/>
              <w:rPr>
                <w:rFonts w:ascii="Helvetica" w:eastAsia="Times New Roman" w:hAnsi="Helvetica" w:cs="Helvetica"/>
                <w:color w:val="000000"/>
                <w:lang w:eastAsia="en-GB"/>
              </w:rPr>
            </w:pPr>
            <w:r w:rsidRPr="00606227">
              <w:rPr>
                <w:rFonts w:ascii="Helvetica" w:eastAsia="Times New Roman" w:hAnsi="Helvetica" w:cs="Helvetica"/>
                <w:color w:val="000000"/>
                <w:lang w:eastAsia="en-GB"/>
              </w:rPr>
              <w:t>4.75</w:t>
            </w:r>
          </w:p>
        </w:tc>
        <w:tc>
          <w:tcPr>
            <w:tcW w:w="1781" w:type="dxa"/>
            <w:tcBorders>
              <w:top w:val="single" w:sz="4" w:space="0" w:color="DFF1D3"/>
              <w:left w:val="nil"/>
              <w:bottom w:val="single" w:sz="4" w:space="0" w:color="DFF1D3"/>
              <w:right w:val="nil"/>
            </w:tcBorders>
            <w:shd w:val="clear" w:color="000000" w:fill="DFF1D3"/>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Stable</w:t>
            </w:r>
          </w:p>
        </w:tc>
      </w:tr>
      <w:tr w:rsidR="00FD1158" w:rsidRPr="00606227" w:rsidTr="00EC0E4C">
        <w:trPr>
          <w:trHeight w:val="319"/>
          <w:jc w:val="center"/>
        </w:trPr>
        <w:tc>
          <w:tcPr>
            <w:tcW w:w="6821" w:type="dxa"/>
            <w:gridSpan w:val="3"/>
            <w:tcBorders>
              <w:top w:val="nil"/>
              <w:left w:val="nil"/>
              <w:bottom w:val="nil"/>
              <w:right w:val="nil"/>
            </w:tcBorders>
            <w:shd w:val="clear" w:color="000000" w:fill="005137"/>
            <w:hideMark/>
          </w:tcPr>
          <w:p w:rsidR="00FD1158" w:rsidRPr="00606227" w:rsidRDefault="00FD1158" w:rsidP="007E5CBD">
            <w:pPr>
              <w:spacing w:after="0" w:line="240" w:lineRule="auto"/>
              <w:rPr>
                <w:rFonts w:ascii="Helvetica" w:eastAsia="Times New Roman" w:hAnsi="Helvetica" w:cs="Helvetica"/>
                <w:b/>
                <w:bCs/>
                <w:lang w:eastAsia="en-GB"/>
              </w:rPr>
            </w:pPr>
            <w:r w:rsidRPr="00606227">
              <w:rPr>
                <w:rFonts w:ascii="Helvetica" w:eastAsia="Times New Roman" w:hAnsi="Helvetica" w:cs="Helvetica"/>
                <w:b/>
                <w:bCs/>
                <w:color w:val="FFFFFF"/>
                <w:lang w:eastAsia="en-GB"/>
              </w:rPr>
              <w:t>SHOPPING CENTRES</w:t>
            </w:r>
          </w:p>
        </w:tc>
      </w:tr>
      <w:tr w:rsidR="00FD1158" w:rsidRPr="00606227" w:rsidTr="00EC0E4C">
        <w:trPr>
          <w:trHeight w:val="402"/>
          <w:jc w:val="center"/>
        </w:trPr>
        <w:tc>
          <w:tcPr>
            <w:tcW w:w="3360" w:type="dxa"/>
            <w:tcBorders>
              <w:top w:val="nil"/>
              <w:left w:val="nil"/>
              <w:bottom w:val="nil"/>
              <w:right w:val="nil"/>
            </w:tcBorders>
            <w:shd w:val="clear" w:color="auto" w:fill="auto"/>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Prime</w:t>
            </w:r>
          </w:p>
        </w:tc>
        <w:tc>
          <w:tcPr>
            <w:tcW w:w="1680" w:type="dxa"/>
            <w:tcBorders>
              <w:top w:val="single" w:sz="4" w:space="0" w:color="DFF1D3"/>
              <w:left w:val="nil"/>
              <w:bottom w:val="single" w:sz="4" w:space="0" w:color="DFF1D3"/>
              <w:right w:val="single" w:sz="4" w:space="0" w:color="FFFFFF"/>
            </w:tcBorders>
            <w:shd w:val="clear" w:color="000000" w:fill="DFF1D3"/>
            <w:hideMark/>
          </w:tcPr>
          <w:p w:rsidR="00FD1158" w:rsidRPr="00606227" w:rsidRDefault="00FD1158" w:rsidP="007E5CBD">
            <w:pPr>
              <w:spacing w:after="0" w:line="240" w:lineRule="auto"/>
              <w:jc w:val="center"/>
              <w:rPr>
                <w:rFonts w:ascii="Helvetica" w:eastAsia="Times New Roman" w:hAnsi="Helvetica" w:cs="Helvetica"/>
                <w:color w:val="000000"/>
                <w:lang w:eastAsia="en-GB"/>
              </w:rPr>
            </w:pPr>
            <w:r w:rsidRPr="00606227">
              <w:rPr>
                <w:rFonts w:ascii="Helvetica" w:eastAsia="Times New Roman" w:hAnsi="Helvetica" w:cs="Helvetica"/>
                <w:color w:val="000000"/>
                <w:lang w:eastAsia="en-GB"/>
              </w:rPr>
              <w:t>5.50</w:t>
            </w:r>
          </w:p>
        </w:tc>
        <w:tc>
          <w:tcPr>
            <w:tcW w:w="1781" w:type="dxa"/>
            <w:tcBorders>
              <w:top w:val="single" w:sz="4" w:space="0" w:color="DFF1D3"/>
              <w:left w:val="nil"/>
              <w:bottom w:val="single" w:sz="4" w:space="0" w:color="DFF1D3"/>
              <w:right w:val="nil"/>
            </w:tcBorders>
            <w:shd w:val="clear" w:color="000000" w:fill="DFF1D3"/>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Stable</w:t>
            </w:r>
          </w:p>
        </w:tc>
      </w:tr>
      <w:tr w:rsidR="00FD1158" w:rsidRPr="00606227" w:rsidTr="00EC0E4C">
        <w:trPr>
          <w:trHeight w:val="342"/>
          <w:jc w:val="center"/>
        </w:trPr>
        <w:tc>
          <w:tcPr>
            <w:tcW w:w="3360" w:type="dxa"/>
            <w:tcBorders>
              <w:top w:val="nil"/>
              <w:left w:val="nil"/>
              <w:bottom w:val="nil"/>
              <w:right w:val="nil"/>
            </w:tcBorders>
            <w:shd w:val="clear" w:color="auto" w:fill="auto"/>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Best Secondary</w:t>
            </w:r>
          </w:p>
        </w:tc>
        <w:tc>
          <w:tcPr>
            <w:tcW w:w="1680" w:type="dxa"/>
            <w:tcBorders>
              <w:top w:val="nil"/>
              <w:left w:val="nil"/>
              <w:bottom w:val="single" w:sz="4" w:space="0" w:color="DFF1D3"/>
              <w:right w:val="single" w:sz="4" w:space="0" w:color="FFFFFF"/>
            </w:tcBorders>
            <w:shd w:val="clear" w:color="000000" w:fill="DFF1D3"/>
            <w:hideMark/>
          </w:tcPr>
          <w:p w:rsidR="00FD1158" w:rsidRPr="00606227" w:rsidRDefault="00FD1158" w:rsidP="007E5CBD">
            <w:pPr>
              <w:spacing w:after="0" w:line="240" w:lineRule="auto"/>
              <w:jc w:val="center"/>
              <w:rPr>
                <w:rFonts w:ascii="Helvetica" w:eastAsia="Times New Roman" w:hAnsi="Helvetica" w:cs="Helvetica"/>
                <w:color w:val="000000"/>
                <w:lang w:eastAsia="en-GB"/>
              </w:rPr>
            </w:pPr>
            <w:r w:rsidRPr="00606227">
              <w:rPr>
                <w:rFonts w:ascii="Helvetica" w:eastAsia="Times New Roman" w:hAnsi="Helvetica" w:cs="Helvetica"/>
                <w:color w:val="000000"/>
                <w:lang w:eastAsia="en-GB"/>
              </w:rPr>
              <w:t>7.50</w:t>
            </w:r>
          </w:p>
        </w:tc>
        <w:tc>
          <w:tcPr>
            <w:tcW w:w="1781" w:type="dxa"/>
            <w:tcBorders>
              <w:top w:val="nil"/>
              <w:left w:val="nil"/>
              <w:bottom w:val="single" w:sz="4" w:space="0" w:color="DFF1D3"/>
              <w:right w:val="nil"/>
            </w:tcBorders>
            <w:shd w:val="clear" w:color="000000" w:fill="DFF1D3"/>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Stable</w:t>
            </w:r>
          </w:p>
        </w:tc>
      </w:tr>
      <w:tr w:rsidR="00FD1158" w:rsidRPr="00606227" w:rsidTr="00EC0E4C">
        <w:trPr>
          <w:trHeight w:val="319"/>
          <w:jc w:val="center"/>
        </w:trPr>
        <w:tc>
          <w:tcPr>
            <w:tcW w:w="6821" w:type="dxa"/>
            <w:gridSpan w:val="3"/>
            <w:tcBorders>
              <w:top w:val="nil"/>
              <w:left w:val="nil"/>
              <w:bottom w:val="nil"/>
              <w:right w:val="nil"/>
            </w:tcBorders>
            <w:shd w:val="clear" w:color="000000" w:fill="005137"/>
            <w:hideMark/>
          </w:tcPr>
          <w:p w:rsidR="00FD1158" w:rsidRPr="00606227" w:rsidRDefault="00FD1158" w:rsidP="007E5CBD">
            <w:pPr>
              <w:spacing w:after="0" w:line="240" w:lineRule="auto"/>
              <w:rPr>
                <w:rFonts w:ascii="Helvetica" w:eastAsia="Times New Roman" w:hAnsi="Helvetica" w:cs="Helvetica"/>
                <w:b/>
                <w:bCs/>
                <w:lang w:eastAsia="en-GB"/>
              </w:rPr>
            </w:pPr>
            <w:r w:rsidRPr="00606227">
              <w:rPr>
                <w:rFonts w:ascii="Helvetica" w:eastAsia="Times New Roman" w:hAnsi="Helvetica" w:cs="Helvetica"/>
                <w:b/>
                <w:bCs/>
                <w:color w:val="FFFFFF"/>
                <w:lang w:eastAsia="en-GB"/>
              </w:rPr>
              <w:t>RETAIL WAREHOUSES</w:t>
            </w:r>
          </w:p>
        </w:tc>
      </w:tr>
      <w:tr w:rsidR="00FD1158" w:rsidRPr="00606227" w:rsidTr="00EC0E4C">
        <w:trPr>
          <w:trHeight w:val="402"/>
          <w:jc w:val="center"/>
        </w:trPr>
        <w:tc>
          <w:tcPr>
            <w:tcW w:w="3360" w:type="dxa"/>
            <w:tcBorders>
              <w:top w:val="nil"/>
              <w:left w:val="nil"/>
              <w:bottom w:val="nil"/>
              <w:right w:val="nil"/>
            </w:tcBorders>
            <w:shd w:val="clear" w:color="auto" w:fill="auto"/>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Park - Open A1 (</w:t>
            </w:r>
            <w:proofErr w:type="spellStart"/>
            <w:r w:rsidRPr="00606227">
              <w:rPr>
                <w:rFonts w:ascii="Helvetica" w:eastAsia="Times New Roman" w:hAnsi="Helvetica" w:cs="Helvetica"/>
                <w:lang w:eastAsia="en-GB"/>
              </w:rPr>
              <w:t>inc</w:t>
            </w:r>
            <w:proofErr w:type="spellEnd"/>
            <w:r w:rsidRPr="00606227">
              <w:rPr>
                <w:rFonts w:ascii="Helvetica" w:eastAsia="Times New Roman" w:hAnsi="Helvetica" w:cs="Helvetica"/>
                <w:lang w:eastAsia="en-GB"/>
              </w:rPr>
              <w:t xml:space="preserve"> fashion)</w:t>
            </w:r>
          </w:p>
        </w:tc>
        <w:tc>
          <w:tcPr>
            <w:tcW w:w="1680" w:type="dxa"/>
            <w:tcBorders>
              <w:top w:val="single" w:sz="4" w:space="0" w:color="DFF1D3"/>
              <w:left w:val="nil"/>
              <w:bottom w:val="single" w:sz="4" w:space="0" w:color="DFF1D3"/>
              <w:right w:val="single" w:sz="4" w:space="0" w:color="FFFFFF"/>
            </w:tcBorders>
            <w:shd w:val="clear" w:color="000000" w:fill="DFF1D3"/>
            <w:hideMark/>
          </w:tcPr>
          <w:p w:rsidR="00FD1158" w:rsidRPr="00606227" w:rsidRDefault="00FD1158" w:rsidP="007E5CBD">
            <w:pPr>
              <w:spacing w:after="0" w:line="240" w:lineRule="auto"/>
              <w:jc w:val="center"/>
              <w:rPr>
                <w:rFonts w:ascii="Helvetica" w:eastAsia="Times New Roman" w:hAnsi="Helvetica" w:cs="Helvetica"/>
                <w:color w:val="000000"/>
                <w:lang w:eastAsia="en-GB"/>
              </w:rPr>
            </w:pPr>
            <w:r w:rsidRPr="00606227">
              <w:rPr>
                <w:rFonts w:ascii="Helvetica" w:eastAsia="Times New Roman" w:hAnsi="Helvetica" w:cs="Helvetica"/>
                <w:color w:val="000000"/>
                <w:lang w:eastAsia="en-GB"/>
              </w:rPr>
              <w:t>5.25</w:t>
            </w:r>
          </w:p>
        </w:tc>
        <w:tc>
          <w:tcPr>
            <w:tcW w:w="1781" w:type="dxa"/>
            <w:tcBorders>
              <w:top w:val="single" w:sz="4" w:space="0" w:color="DFF1D3"/>
              <w:left w:val="nil"/>
              <w:bottom w:val="single" w:sz="4" w:space="0" w:color="DFF1D3"/>
              <w:right w:val="nil"/>
            </w:tcBorders>
            <w:shd w:val="clear" w:color="000000" w:fill="DFF1D3"/>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Stable</w:t>
            </w:r>
          </w:p>
        </w:tc>
      </w:tr>
      <w:tr w:rsidR="00FD1158" w:rsidRPr="00606227" w:rsidTr="00EC0E4C">
        <w:trPr>
          <w:trHeight w:val="342"/>
          <w:jc w:val="center"/>
        </w:trPr>
        <w:tc>
          <w:tcPr>
            <w:tcW w:w="3360" w:type="dxa"/>
            <w:tcBorders>
              <w:top w:val="nil"/>
              <w:left w:val="nil"/>
              <w:bottom w:val="nil"/>
              <w:right w:val="nil"/>
            </w:tcBorders>
            <w:shd w:val="clear" w:color="auto" w:fill="auto"/>
            <w:hideMark/>
          </w:tcPr>
          <w:p w:rsidR="00FD1158" w:rsidRPr="00606227" w:rsidRDefault="00FD1158" w:rsidP="007E5CBD">
            <w:pPr>
              <w:spacing w:after="0" w:line="240" w:lineRule="auto"/>
              <w:rPr>
                <w:rFonts w:ascii="Helvetica" w:eastAsia="Times New Roman" w:hAnsi="Helvetica" w:cs="Helvetica"/>
                <w:lang w:eastAsia="en-GB"/>
              </w:rPr>
            </w:pPr>
            <w:proofErr w:type="spellStart"/>
            <w:r w:rsidRPr="00606227">
              <w:rPr>
                <w:rFonts w:ascii="Helvetica" w:eastAsia="Times New Roman" w:hAnsi="Helvetica" w:cs="Helvetica"/>
                <w:lang w:eastAsia="en-GB"/>
              </w:rPr>
              <w:t>Solus</w:t>
            </w:r>
            <w:proofErr w:type="spellEnd"/>
            <w:r w:rsidRPr="00606227">
              <w:rPr>
                <w:rFonts w:ascii="Helvetica" w:eastAsia="Times New Roman" w:hAnsi="Helvetica" w:cs="Helvetica"/>
                <w:lang w:eastAsia="en-GB"/>
              </w:rPr>
              <w:t xml:space="preserve"> - Prime - Bulky User</w:t>
            </w:r>
          </w:p>
        </w:tc>
        <w:tc>
          <w:tcPr>
            <w:tcW w:w="1680" w:type="dxa"/>
            <w:tcBorders>
              <w:top w:val="nil"/>
              <w:left w:val="nil"/>
              <w:bottom w:val="single" w:sz="4" w:space="0" w:color="DFF1D3"/>
              <w:right w:val="single" w:sz="4" w:space="0" w:color="FFFFFF"/>
            </w:tcBorders>
            <w:shd w:val="clear" w:color="000000" w:fill="DFF1D3"/>
            <w:hideMark/>
          </w:tcPr>
          <w:p w:rsidR="00FD1158" w:rsidRPr="00606227" w:rsidRDefault="00FD1158" w:rsidP="007E5CBD">
            <w:pPr>
              <w:spacing w:after="0" w:line="240" w:lineRule="auto"/>
              <w:jc w:val="center"/>
              <w:rPr>
                <w:rFonts w:ascii="Helvetica" w:eastAsia="Times New Roman" w:hAnsi="Helvetica" w:cs="Helvetica"/>
                <w:color w:val="000000"/>
                <w:lang w:eastAsia="en-GB"/>
              </w:rPr>
            </w:pPr>
            <w:r w:rsidRPr="00606227">
              <w:rPr>
                <w:rFonts w:ascii="Helvetica" w:eastAsia="Times New Roman" w:hAnsi="Helvetica" w:cs="Helvetica"/>
                <w:color w:val="000000"/>
                <w:lang w:eastAsia="en-GB"/>
              </w:rPr>
              <w:t>6.25</w:t>
            </w:r>
          </w:p>
        </w:tc>
        <w:tc>
          <w:tcPr>
            <w:tcW w:w="1781" w:type="dxa"/>
            <w:tcBorders>
              <w:top w:val="nil"/>
              <w:left w:val="nil"/>
              <w:bottom w:val="single" w:sz="4" w:space="0" w:color="DFF1D3"/>
              <w:right w:val="nil"/>
            </w:tcBorders>
            <w:shd w:val="clear" w:color="000000" w:fill="DFF1D3"/>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Stable</w:t>
            </w:r>
          </w:p>
        </w:tc>
      </w:tr>
      <w:tr w:rsidR="00FD1158" w:rsidRPr="00606227" w:rsidTr="00EC0E4C">
        <w:trPr>
          <w:trHeight w:val="319"/>
          <w:jc w:val="center"/>
        </w:trPr>
        <w:tc>
          <w:tcPr>
            <w:tcW w:w="6821" w:type="dxa"/>
            <w:gridSpan w:val="3"/>
            <w:tcBorders>
              <w:top w:val="nil"/>
              <w:left w:val="nil"/>
              <w:bottom w:val="nil"/>
              <w:right w:val="nil"/>
            </w:tcBorders>
            <w:shd w:val="clear" w:color="000000" w:fill="005137"/>
            <w:hideMark/>
          </w:tcPr>
          <w:p w:rsidR="00FD1158" w:rsidRPr="00606227" w:rsidRDefault="00FD1158" w:rsidP="007E5CBD">
            <w:pPr>
              <w:spacing w:after="0" w:line="240" w:lineRule="auto"/>
              <w:rPr>
                <w:rFonts w:ascii="Helvetica" w:eastAsia="Times New Roman" w:hAnsi="Helvetica" w:cs="Helvetica"/>
                <w:b/>
                <w:bCs/>
                <w:lang w:eastAsia="en-GB"/>
              </w:rPr>
            </w:pPr>
            <w:r w:rsidRPr="00606227">
              <w:rPr>
                <w:rFonts w:ascii="Helvetica" w:eastAsia="Times New Roman" w:hAnsi="Helvetica" w:cs="Helvetica"/>
                <w:b/>
                <w:bCs/>
                <w:color w:val="FFFFFF"/>
                <w:lang w:eastAsia="en-GB"/>
              </w:rPr>
              <w:t>LEISURE PARKS</w:t>
            </w:r>
          </w:p>
        </w:tc>
      </w:tr>
      <w:tr w:rsidR="00FD1158" w:rsidRPr="00606227" w:rsidTr="00EC0E4C">
        <w:trPr>
          <w:trHeight w:val="360"/>
          <w:jc w:val="center"/>
        </w:trPr>
        <w:tc>
          <w:tcPr>
            <w:tcW w:w="3360" w:type="dxa"/>
            <w:tcBorders>
              <w:top w:val="nil"/>
              <w:left w:val="nil"/>
              <w:bottom w:val="single" w:sz="4" w:space="0" w:color="005137"/>
              <w:right w:val="nil"/>
            </w:tcBorders>
            <w:shd w:val="clear" w:color="auto" w:fill="auto"/>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Prime</w:t>
            </w:r>
          </w:p>
        </w:tc>
        <w:tc>
          <w:tcPr>
            <w:tcW w:w="1680" w:type="dxa"/>
            <w:tcBorders>
              <w:top w:val="single" w:sz="4" w:space="0" w:color="DFF1D3"/>
              <w:left w:val="nil"/>
              <w:bottom w:val="single" w:sz="4" w:space="0" w:color="DFF1D3"/>
              <w:right w:val="single" w:sz="4" w:space="0" w:color="FFFFFF"/>
            </w:tcBorders>
            <w:shd w:val="clear" w:color="000000" w:fill="DFF1D3"/>
            <w:hideMark/>
          </w:tcPr>
          <w:p w:rsidR="00FD1158" w:rsidRPr="00606227" w:rsidRDefault="00FD1158" w:rsidP="007E5CBD">
            <w:pPr>
              <w:spacing w:after="0" w:line="240" w:lineRule="auto"/>
              <w:jc w:val="center"/>
              <w:rPr>
                <w:rFonts w:ascii="Helvetica" w:eastAsia="Times New Roman" w:hAnsi="Helvetica" w:cs="Helvetica"/>
                <w:color w:val="000000"/>
                <w:lang w:eastAsia="en-GB"/>
              </w:rPr>
            </w:pPr>
            <w:r w:rsidRPr="00606227">
              <w:rPr>
                <w:rFonts w:ascii="Helvetica" w:eastAsia="Times New Roman" w:hAnsi="Helvetica" w:cs="Helvetica"/>
                <w:color w:val="000000"/>
                <w:lang w:eastAsia="en-GB"/>
              </w:rPr>
              <w:t>6.35</w:t>
            </w:r>
          </w:p>
        </w:tc>
        <w:tc>
          <w:tcPr>
            <w:tcW w:w="1781" w:type="dxa"/>
            <w:tcBorders>
              <w:top w:val="single" w:sz="4" w:space="0" w:color="DFF1D3"/>
              <w:left w:val="nil"/>
              <w:bottom w:val="single" w:sz="4" w:space="0" w:color="DFF1D3"/>
              <w:right w:val="nil"/>
            </w:tcBorders>
            <w:shd w:val="clear" w:color="000000" w:fill="DFF1D3"/>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Weaker</w:t>
            </w:r>
          </w:p>
        </w:tc>
      </w:tr>
      <w:tr w:rsidR="00FD1158" w:rsidRPr="00606227" w:rsidTr="00EC0E4C">
        <w:trPr>
          <w:trHeight w:val="319"/>
          <w:jc w:val="center"/>
        </w:trPr>
        <w:tc>
          <w:tcPr>
            <w:tcW w:w="6821" w:type="dxa"/>
            <w:gridSpan w:val="3"/>
            <w:tcBorders>
              <w:top w:val="nil"/>
              <w:left w:val="nil"/>
              <w:bottom w:val="nil"/>
              <w:right w:val="nil"/>
            </w:tcBorders>
            <w:shd w:val="clear" w:color="000000" w:fill="005137"/>
            <w:hideMark/>
          </w:tcPr>
          <w:p w:rsidR="00FD1158" w:rsidRPr="00606227" w:rsidRDefault="00FD1158" w:rsidP="007E5CBD">
            <w:pPr>
              <w:spacing w:after="0" w:line="240" w:lineRule="auto"/>
              <w:rPr>
                <w:rFonts w:ascii="Helvetica" w:eastAsia="Times New Roman" w:hAnsi="Helvetica" w:cs="Helvetica"/>
                <w:b/>
                <w:bCs/>
                <w:lang w:eastAsia="en-GB"/>
              </w:rPr>
            </w:pPr>
            <w:r w:rsidRPr="00606227">
              <w:rPr>
                <w:rFonts w:ascii="Helvetica" w:eastAsia="Times New Roman" w:hAnsi="Helvetica" w:cs="Helvetica"/>
                <w:b/>
                <w:bCs/>
                <w:color w:val="FFFFFF"/>
                <w:lang w:eastAsia="en-GB"/>
              </w:rPr>
              <w:t>OFFICES</w:t>
            </w:r>
          </w:p>
        </w:tc>
      </w:tr>
      <w:tr w:rsidR="00FD1158" w:rsidRPr="00606227" w:rsidTr="00EC0E4C">
        <w:trPr>
          <w:trHeight w:val="342"/>
          <w:jc w:val="center"/>
        </w:trPr>
        <w:tc>
          <w:tcPr>
            <w:tcW w:w="3360" w:type="dxa"/>
            <w:tcBorders>
              <w:top w:val="nil"/>
              <w:left w:val="nil"/>
              <w:bottom w:val="nil"/>
              <w:right w:val="nil"/>
            </w:tcBorders>
            <w:shd w:val="clear" w:color="auto" w:fill="auto"/>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London City</w:t>
            </w:r>
          </w:p>
        </w:tc>
        <w:tc>
          <w:tcPr>
            <w:tcW w:w="1680" w:type="dxa"/>
            <w:tcBorders>
              <w:top w:val="nil"/>
              <w:left w:val="nil"/>
              <w:bottom w:val="single" w:sz="4" w:space="0" w:color="DFF1D3"/>
              <w:right w:val="single" w:sz="4" w:space="0" w:color="FFFFFF"/>
            </w:tcBorders>
            <w:shd w:val="clear" w:color="000000" w:fill="DFF1D3"/>
            <w:hideMark/>
          </w:tcPr>
          <w:p w:rsidR="00FD1158" w:rsidRPr="00606227" w:rsidRDefault="00FD1158" w:rsidP="007E5CBD">
            <w:pPr>
              <w:spacing w:after="0" w:line="240" w:lineRule="auto"/>
              <w:jc w:val="center"/>
              <w:rPr>
                <w:rFonts w:ascii="Helvetica" w:eastAsia="Times New Roman" w:hAnsi="Helvetica" w:cs="Helvetica"/>
                <w:lang w:eastAsia="en-GB"/>
              </w:rPr>
            </w:pPr>
            <w:r w:rsidRPr="00606227">
              <w:rPr>
                <w:rFonts w:ascii="Helvetica" w:eastAsia="Times New Roman" w:hAnsi="Helvetica" w:cs="Helvetica"/>
                <w:lang w:eastAsia="en-GB"/>
              </w:rPr>
              <w:t>4.75</w:t>
            </w:r>
          </w:p>
        </w:tc>
        <w:tc>
          <w:tcPr>
            <w:tcW w:w="1781" w:type="dxa"/>
            <w:tcBorders>
              <w:top w:val="nil"/>
              <w:left w:val="nil"/>
              <w:bottom w:val="single" w:sz="4" w:space="0" w:color="DFF1D3"/>
              <w:right w:val="nil"/>
            </w:tcBorders>
            <w:shd w:val="clear" w:color="000000" w:fill="DFF1D3"/>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Stable</w:t>
            </w:r>
          </w:p>
        </w:tc>
      </w:tr>
      <w:tr w:rsidR="00FD1158" w:rsidRPr="00606227" w:rsidTr="00EC0E4C">
        <w:trPr>
          <w:trHeight w:val="342"/>
          <w:jc w:val="center"/>
        </w:trPr>
        <w:tc>
          <w:tcPr>
            <w:tcW w:w="3360" w:type="dxa"/>
            <w:tcBorders>
              <w:top w:val="nil"/>
              <w:left w:val="nil"/>
              <w:bottom w:val="nil"/>
              <w:right w:val="nil"/>
            </w:tcBorders>
            <w:shd w:val="clear" w:color="auto" w:fill="auto"/>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M25/South East</w:t>
            </w:r>
          </w:p>
        </w:tc>
        <w:tc>
          <w:tcPr>
            <w:tcW w:w="1680" w:type="dxa"/>
            <w:tcBorders>
              <w:top w:val="nil"/>
              <w:left w:val="nil"/>
              <w:bottom w:val="single" w:sz="4" w:space="0" w:color="DFF1D3"/>
              <w:right w:val="single" w:sz="4" w:space="0" w:color="FFFFFF"/>
            </w:tcBorders>
            <w:shd w:val="clear" w:color="000000" w:fill="DFF1D3"/>
            <w:hideMark/>
          </w:tcPr>
          <w:p w:rsidR="00FD1158" w:rsidRPr="00606227" w:rsidRDefault="00FD1158" w:rsidP="007E5CBD">
            <w:pPr>
              <w:spacing w:after="0" w:line="240" w:lineRule="auto"/>
              <w:jc w:val="center"/>
              <w:rPr>
                <w:rFonts w:ascii="Helvetica" w:eastAsia="Times New Roman" w:hAnsi="Helvetica" w:cs="Helvetica"/>
                <w:color w:val="000000"/>
                <w:lang w:eastAsia="en-GB"/>
              </w:rPr>
            </w:pPr>
            <w:r w:rsidRPr="00606227">
              <w:rPr>
                <w:rFonts w:ascii="Helvetica" w:eastAsia="Times New Roman" w:hAnsi="Helvetica" w:cs="Helvetica"/>
                <w:color w:val="000000"/>
                <w:lang w:eastAsia="en-GB"/>
              </w:rPr>
              <w:t>6.00</w:t>
            </w:r>
          </w:p>
        </w:tc>
        <w:tc>
          <w:tcPr>
            <w:tcW w:w="1781" w:type="dxa"/>
            <w:tcBorders>
              <w:top w:val="nil"/>
              <w:left w:val="nil"/>
              <w:bottom w:val="single" w:sz="4" w:space="0" w:color="DFF1D3"/>
              <w:right w:val="nil"/>
            </w:tcBorders>
            <w:shd w:val="clear" w:color="000000" w:fill="DFF1D3"/>
            <w:hideMark/>
          </w:tcPr>
          <w:p w:rsidR="00FD1158" w:rsidRPr="00606227" w:rsidRDefault="00FD1158" w:rsidP="007E5CBD">
            <w:pPr>
              <w:spacing w:after="0" w:line="240" w:lineRule="auto"/>
              <w:rPr>
                <w:rFonts w:ascii="Helvetica" w:eastAsia="Times New Roman" w:hAnsi="Helvetica" w:cs="Helvetica"/>
                <w:color w:val="000000"/>
                <w:lang w:eastAsia="en-GB"/>
              </w:rPr>
            </w:pPr>
            <w:r w:rsidRPr="00606227">
              <w:rPr>
                <w:rFonts w:ascii="Helvetica" w:eastAsia="Times New Roman" w:hAnsi="Helvetica" w:cs="Helvetica"/>
                <w:b/>
                <w:bCs/>
                <w:lang w:eastAsia="en-GB"/>
              </w:rPr>
              <w:t>Stable(</w:t>
            </w:r>
            <w:r w:rsidRPr="00606227">
              <w:rPr>
                <w:rFonts w:ascii="Helvetica" w:eastAsia="Times New Roman" w:hAnsi="Helvetica" w:cs="Helvetica"/>
                <w:lang w:eastAsia="en-GB"/>
              </w:rPr>
              <w:t>Weaker)</w:t>
            </w:r>
          </w:p>
        </w:tc>
      </w:tr>
      <w:tr w:rsidR="00FD1158" w:rsidRPr="00606227" w:rsidTr="00EC0E4C">
        <w:trPr>
          <w:trHeight w:val="342"/>
          <w:jc w:val="center"/>
        </w:trPr>
        <w:tc>
          <w:tcPr>
            <w:tcW w:w="3360" w:type="dxa"/>
            <w:tcBorders>
              <w:top w:val="nil"/>
              <w:left w:val="nil"/>
              <w:bottom w:val="nil"/>
              <w:right w:val="nil"/>
            </w:tcBorders>
            <w:shd w:val="clear" w:color="auto" w:fill="auto"/>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Regional Cities</w:t>
            </w:r>
          </w:p>
        </w:tc>
        <w:tc>
          <w:tcPr>
            <w:tcW w:w="1680" w:type="dxa"/>
            <w:tcBorders>
              <w:top w:val="nil"/>
              <w:left w:val="nil"/>
              <w:bottom w:val="single" w:sz="4" w:space="0" w:color="DFF1D3"/>
              <w:right w:val="single" w:sz="4" w:space="0" w:color="FFFFFF"/>
            </w:tcBorders>
            <w:shd w:val="clear" w:color="000000" w:fill="DFF1D3"/>
            <w:hideMark/>
          </w:tcPr>
          <w:p w:rsidR="00FD1158" w:rsidRPr="00606227" w:rsidRDefault="00FD1158" w:rsidP="007E5CBD">
            <w:pPr>
              <w:spacing w:after="0" w:line="240" w:lineRule="auto"/>
              <w:jc w:val="center"/>
              <w:rPr>
                <w:rFonts w:ascii="Helvetica" w:eastAsia="Times New Roman" w:hAnsi="Helvetica" w:cs="Helvetica"/>
                <w:color w:val="000000"/>
                <w:lang w:eastAsia="en-GB"/>
              </w:rPr>
            </w:pPr>
            <w:r w:rsidRPr="00606227">
              <w:rPr>
                <w:rFonts w:ascii="Helvetica" w:eastAsia="Times New Roman" w:hAnsi="Helvetica" w:cs="Helvetica"/>
                <w:color w:val="000000"/>
                <w:lang w:eastAsia="en-GB"/>
              </w:rPr>
              <w:t>6.25</w:t>
            </w:r>
          </w:p>
        </w:tc>
        <w:tc>
          <w:tcPr>
            <w:tcW w:w="1781" w:type="dxa"/>
            <w:tcBorders>
              <w:top w:val="nil"/>
              <w:left w:val="nil"/>
              <w:bottom w:val="single" w:sz="4" w:space="0" w:color="DFF1D3"/>
              <w:right w:val="nil"/>
            </w:tcBorders>
            <w:shd w:val="clear" w:color="000000" w:fill="DFF1D3"/>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Weaker</w:t>
            </w:r>
          </w:p>
        </w:tc>
      </w:tr>
      <w:tr w:rsidR="00FD1158" w:rsidRPr="00606227" w:rsidTr="00EC0E4C">
        <w:trPr>
          <w:trHeight w:val="319"/>
          <w:jc w:val="center"/>
        </w:trPr>
        <w:tc>
          <w:tcPr>
            <w:tcW w:w="6821" w:type="dxa"/>
            <w:gridSpan w:val="3"/>
            <w:tcBorders>
              <w:top w:val="nil"/>
              <w:left w:val="nil"/>
              <w:bottom w:val="nil"/>
              <w:right w:val="nil"/>
            </w:tcBorders>
            <w:shd w:val="clear" w:color="000000" w:fill="005137"/>
            <w:hideMark/>
          </w:tcPr>
          <w:p w:rsidR="00FD1158" w:rsidRPr="00606227" w:rsidRDefault="00FD1158" w:rsidP="007E5CBD">
            <w:pPr>
              <w:spacing w:after="0" w:line="240" w:lineRule="auto"/>
              <w:rPr>
                <w:rFonts w:ascii="Helvetica" w:eastAsia="Times New Roman" w:hAnsi="Helvetica" w:cs="Helvetica"/>
                <w:b/>
                <w:bCs/>
                <w:lang w:eastAsia="en-GB"/>
              </w:rPr>
            </w:pPr>
            <w:r w:rsidRPr="00606227">
              <w:rPr>
                <w:rFonts w:ascii="Helvetica" w:eastAsia="Times New Roman" w:hAnsi="Helvetica" w:cs="Helvetica"/>
                <w:b/>
                <w:bCs/>
                <w:color w:val="FFFFFF"/>
                <w:lang w:eastAsia="en-GB"/>
              </w:rPr>
              <w:t>INDUSTRIAL</w:t>
            </w:r>
          </w:p>
        </w:tc>
      </w:tr>
      <w:tr w:rsidR="00FD1158" w:rsidRPr="00606227" w:rsidTr="00EC0E4C">
        <w:trPr>
          <w:trHeight w:val="402"/>
          <w:jc w:val="center"/>
        </w:trPr>
        <w:tc>
          <w:tcPr>
            <w:tcW w:w="3360" w:type="dxa"/>
            <w:tcBorders>
              <w:top w:val="nil"/>
              <w:left w:val="nil"/>
              <w:bottom w:val="nil"/>
              <w:right w:val="nil"/>
            </w:tcBorders>
            <w:shd w:val="clear" w:color="auto" w:fill="auto"/>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Prime  Distribution</w:t>
            </w:r>
          </w:p>
        </w:tc>
        <w:tc>
          <w:tcPr>
            <w:tcW w:w="1680" w:type="dxa"/>
            <w:tcBorders>
              <w:top w:val="single" w:sz="4" w:space="0" w:color="DFF1D3"/>
              <w:left w:val="nil"/>
              <w:bottom w:val="single" w:sz="4" w:space="0" w:color="DFF1D3"/>
              <w:right w:val="single" w:sz="4" w:space="0" w:color="FFFFFF"/>
            </w:tcBorders>
            <w:shd w:val="clear" w:color="000000" w:fill="DFF1D3"/>
            <w:hideMark/>
          </w:tcPr>
          <w:p w:rsidR="00FD1158" w:rsidRPr="00606227" w:rsidRDefault="00FD1158" w:rsidP="007E5CBD">
            <w:pPr>
              <w:spacing w:after="0" w:line="240" w:lineRule="auto"/>
              <w:jc w:val="center"/>
              <w:rPr>
                <w:rFonts w:ascii="Helvetica" w:eastAsia="Times New Roman" w:hAnsi="Helvetica" w:cs="Helvetica"/>
                <w:color w:val="000000"/>
                <w:lang w:eastAsia="en-GB"/>
              </w:rPr>
            </w:pPr>
            <w:r w:rsidRPr="00606227">
              <w:rPr>
                <w:rFonts w:ascii="Helvetica" w:eastAsia="Times New Roman" w:hAnsi="Helvetica" w:cs="Helvetica"/>
                <w:color w:val="000000"/>
                <w:lang w:eastAsia="en-GB"/>
              </w:rPr>
              <w:t>6.50</w:t>
            </w:r>
          </w:p>
        </w:tc>
        <w:tc>
          <w:tcPr>
            <w:tcW w:w="1781" w:type="dxa"/>
            <w:tcBorders>
              <w:top w:val="single" w:sz="4" w:space="0" w:color="DFF1D3"/>
              <w:left w:val="nil"/>
              <w:bottom w:val="single" w:sz="4" w:space="0" w:color="DFF1D3"/>
              <w:right w:val="nil"/>
            </w:tcBorders>
            <w:shd w:val="clear" w:color="000000" w:fill="DFF1D3"/>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Stable</w:t>
            </w:r>
          </w:p>
        </w:tc>
      </w:tr>
      <w:tr w:rsidR="00FD1158" w:rsidRPr="00606227" w:rsidTr="00EC0E4C">
        <w:trPr>
          <w:trHeight w:val="342"/>
          <w:jc w:val="center"/>
        </w:trPr>
        <w:tc>
          <w:tcPr>
            <w:tcW w:w="3360" w:type="dxa"/>
            <w:tcBorders>
              <w:top w:val="nil"/>
              <w:left w:val="nil"/>
              <w:bottom w:val="nil"/>
              <w:right w:val="nil"/>
            </w:tcBorders>
            <w:shd w:val="clear" w:color="auto" w:fill="auto"/>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Prime Estate (Greater London)</w:t>
            </w:r>
          </w:p>
        </w:tc>
        <w:tc>
          <w:tcPr>
            <w:tcW w:w="1680" w:type="dxa"/>
            <w:tcBorders>
              <w:top w:val="nil"/>
              <w:left w:val="nil"/>
              <w:bottom w:val="single" w:sz="4" w:space="0" w:color="DFF1D3"/>
              <w:right w:val="single" w:sz="4" w:space="0" w:color="FFFFFF"/>
            </w:tcBorders>
            <w:shd w:val="clear" w:color="000000" w:fill="DFF1D3"/>
            <w:hideMark/>
          </w:tcPr>
          <w:p w:rsidR="00FD1158" w:rsidRPr="00606227" w:rsidRDefault="00FD1158" w:rsidP="007E5CBD">
            <w:pPr>
              <w:spacing w:after="0" w:line="240" w:lineRule="auto"/>
              <w:jc w:val="center"/>
              <w:rPr>
                <w:rFonts w:ascii="Helvetica" w:eastAsia="Times New Roman" w:hAnsi="Helvetica" w:cs="Helvetica"/>
                <w:color w:val="000000"/>
                <w:lang w:eastAsia="en-GB"/>
              </w:rPr>
            </w:pPr>
            <w:r w:rsidRPr="00606227">
              <w:rPr>
                <w:rFonts w:ascii="Helvetica" w:eastAsia="Times New Roman" w:hAnsi="Helvetica" w:cs="Helvetica"/>
                <w:color w:val="000000"/>
                <w:lang w:eastAsia="en-GB"/>
              </w:rPr>
              <w:t>6.00</w:t>
            </w:r>
          </w:p>
        </w:tc>
        <w:tc>
          <w:tcPr>
            <w:tcW w:w="1781" w:type="dxa"/>
            <w:tcBorders>
              <w:top w:val="nil"/>
              <w:left w:val="nil"/>
              <w:bottom w:val="single" w:sz="4" w:space="0" w:color="DFF1D3"/>
              <w:right w:val="nil"/>
            </w:tcBorders>
            <w:shd w:val="clear" w:color="000000" w:fill="DFF1D3"/>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Stable</w:t>
            </w:r>
          </w:p>
        </w:tc>
      </w:tr>
      <w:tr w:rsidR="00FD1158" w:rsidRPr="00606227" w:rsidTr="00EC0E4C">
        <w:trPr>
          <w:trHeight w:val="342"/>
          <w:jc w:val="center"/>
        </w:trPr>
        <w:tc>
          <w:tcPr>
            <w:tcW w:w="3360" w:type="dxa"/>
            <w:tcBorders>
              <w:top w:val="nil"/>
              <w:left w:val="nil"/>
              <w:bottom w:val="nil"/>
              <w:right w:val="nil"/>
            </w:tcBorders>
            <w:shd w:val="clear" w:color="auto" w:fill="auto"/>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Prime Estate (Ex Greater London)</w:t>
            </w:r>
          </w:p>
          <w:p w:rsidR="00FD1158" w:rsidRPr="00606227" w:rsidRDefault="00FD1158" w:rsidP="007E5CBD">
            <w:pPr>
              <w:spacing w:after="0" w:line="240" w:lineRule="auto"/>
              <w:rPr>
                <w:rFonts w:ascii="Helvetica" w:eastAsia="Times New Roman" w:hAnsi="Helvetica" w:cs="Helvetica"/>
                <w:lang w:eastAsia="en-GB"/>
              </w:rPr>
            </w:pPr>
          </w:p>
        </w:tc>
        <w:tc>
          <w:tcPr>
            <w:tcW w:w="1680" w:type="dxa"/>
            <w:tcBorders>
              <w:top w:val="nil"/>
              <w:left w:val="nil"/>
              <w:bottom w:val="single" w:sz="4" w:space="0" w:color="DFF1D3"/>
              <w:right w:val="single" w:sz="4" w:space="0" w:color="FFFFFF"/>
            </w:tcBorders>
            <w:shd w:val="clear" w:color="000000" w:fill="DFF1D3"/>
            <w:hideMark/>
          </w:tcPr>
          <w:p w:rsidR="00FD1158" w:rsidRPr="00606227" w:rsidRDefault="00FD1158" w:rsidP="007E5CBD">
            <w:pPr>
              <w:spacing w:after="0" w:line="240" w:lineRule="auto"/>
              <w:jc w:val="center"/>
              <w:rPr>
                <w:rFonts w:ascii="Helvetica" w:eastAsia="Times New Roman" w:hAnsi="Helvetica" w:cs="Helvetica"/>
                <w:color w:val="000000"/>
                <w:lang w:eastAsia="en-GB"/>
              </w:rPr>
            </w:pPr>
            <w:r w:rsidRPr="00606227">
              <w:rPr>
                <w:rFonts w:ascii="Helvetica" w:eastAsia="Times New Roman" w:hAnsi="Helvetica" w:cs="Helvetica"/>
                <w:color w:val="000000"/>
                <w:lang w:eastAsia="en-GB"/>
              </w:rPr>
              <w:t>6.75</w:t>
            </w:r>
          </w:p>
        </w:tc>
        <w:tc>
          <w:tcPr>
            <w:tcW w:w="1781" w:type="dxa"/>
            <w:tcBorders>
              <w:top w:val="nil"/>
              <w:left w:val="nil"/>
              <w:bottom w:val="single" w:sz="4" w:space="0" w:color="DFF1D3"/>
              <w:right w:val="nil"/>
            </w:tcBorders>
            <w:shd w:val="clear" w:color="000000" w:fill="DFF1D3"/>
            <w:hideMark/>
          </w:tcPr>
          <w:p w:rsidR="00FD1158" w:rsidRPr="00606227" w:rsidRDefault="00FD1158" w:rsidP="007E5CBD">
            <w:pPr>
              <w:spacing w:after="0" w:line="240" w:lineRule="auto"/>
              <w:rPr>
                <w:rFonts w:ascii="Helvetica" w:eastAsia="Times New Roman" w:hAnsi="Helvetica" w:cs="Helvetica"/>
                <w:lang w:eastAsia="en-GB"/>
              </w:rPr>
            </w:pPr>
            <w:r w:rsidRPr="00606227">
              <w:rPr>
                <w:rFonts w:ascii="Helvetica" w:eastAsia="Times New Roman" w:hAnsi="Helvetica" w:cs="Helvetica"/>
                <w:lang w:eastAsia="en-GB"/>
              </w:rPr>
              <w:t>Stable</w:t>
            </w:r>
          </w:p>
        </w:tc>
      </w:tr>
    </w:tbl>
    <w:p w:rsidR="00FD1158" w:rsidRDefault="00FD1158" w:rsidP="007E5CBD">
      <w:pPr>
        <w:rPr>
          <w:rFonts w:ascii="Helvetica" w:hAnsi="Helvetica" w:cs="Helvetica"/>
          <w:b/>
        </w:rPr>
      </w:pPr>
    </w:p>
    <w:p w:rsidR="00A65E9B" w:rsidRDefault="00FD1158" w:rsidP="007E5CBD">
      <w:pPr>
        <w:rPr>
          <w:rFonts w:ascii="Helvetica" w:hAnsi="Helvetica" w:cs="Helvetica"/>
          <w:b/>
        </w:rPr>
      </w:pPr>
      <w:r w:rsidRPr="00606227">
        <w:rPr>
          <w:rFonts w:ascii="Helvetica" w:hAnsi="Helvetica" w:cs="Helvetica"/>
          <w:b/>
        </w:rPr>
        <w:t xml:space="preserve">For clients seeking to invest into commercial property, please visit </w:t>
      </w:r>
      <w:proofErr w:type="gramStart"/>
      <w:r w:rsidRPr="00606227">
        <w:rPr>
          <w:rFonts w:ascii="Helvetica" w:hAnsi="Helvetica" w:cs="Helvetica"/>
          <w:b/>
        </w:rPr>
        <w:t>our the</w:t>
      </w:r>
      <w:proofErr w:type="gramEnd"/>
      <w:r w:rsidRPr="00606227">
        <w:rPr>
          <w:rFonts w:ascii="Helvetica" w:hAnsi="Helvetica" w:cs="Helvetica"/>
          <w:b/>
        </w:rPr>
        <w:t xml:space="preserve"> latest property auctions on our website at: </w:t>
      </w:r>
      <w:hyperlink r:id="rId13" w:history="1">
        <w:r w:rsidRPr="00FD1158">
          <w:rPr>
            <w:rStyle w:val="Hyperlink"/>
            <w:rFonts w:ascii="Helvetica" w:hAnsi="Helvetica" w:cs="Helvetica"/>
            <w:b/>
            <w:color w:val="000000" w:themeColor="text1"/>
          </w:rPr>
          <w:t>http://www.pensionpractitioner.com/latest-property-auctions</w:t>
        </w:r>
      </w:hyperlink>
      <w:r>
        <w:rPr>
          <w:rFonts w:ascii="Helvetica" w:hAnsi="Helvetica" w:cs="Helvetica"/>
          <w:b/>
        </w:rPr>
        <w:t xml:space="preserve">. </w:t>
      </w:r>
    </w:p>
    <w:p w:rsidR="00FD1158" w:rsidRDefault="00FD1158" w:rsidP="007E5CBD">
      <w:pPr>
        <w:rPr>
          <w:rFonts w:ascii="Helvetica" w:hAnsi="Helvetica" w:cs="Calibri"/>
          <w:b/>
        </w:rPr>
      </w:pPr>
    </w:p>
    <w:p w:rsidR="007E5CBD" w:rsidRPr="00920BB4" w:rsidRDefault="007E5CBD" w:rsidP="007E5CBD">
      <w:pPr>
        <w:rPr>
          <w:rFonts w:ascii="Helvetica" w:hAnsi="Helvetica" w:cs="Calibri"/>
          <w:b/>
        </w:rPr>
      </w:pPr>
    </w:p>
    <w:p w:rsidR="0087316F" w:rsidRPr="00920BB4" w:rsidRDefault="0087316F" w:rsidP="007E5CBD">
      <w:pPr>
        <w:jc w:val="both"/>
        <w:rPr>
          <w:rFonts w:ascii="Helvetica" w:eastAsia="Times New Roman" w:hAnsi="Helvetica" w:cs="Helvetica"/>
        </w:rPr>
      </w:pPr>
      <w:r w:rsidRPr="00FD1158">
        <w:rPr>
          <w:rFonts w:ascii="Helvetica" w:eastAsia="Times New Roman" w:hAnsi="Helvetica" w:cs="Helvetica"/>
          <w:b/>
        </w:rPr>
        <w:lastRenderedPageBreak/>
        <w:t>Economic Outlook</w:t>
      </w:r>
      <w:r w:rsidR="00FD1158" w:rsidRPr="00FD1158">
        <w:rPr>
          <w:rFonts w:ascii="Helvetica" w:eastAsia="Times New Roman" w:hAnsi="Helvetica" w:cs="Helvetica"/>
          <w:b/>
        </w:rPr>
        <w:t xml:space="preserve"> </w:t>
      </w:r>
      <w:r w:rsidRPr="00FD1158">
        <w:rPr>
          <w:rFonts w:ascii="Helvetica" w:eastAsia="Times New Roman" w:hAnsi="Helvetica" w:cs="Helvetica"/>
        </w:rPr>
        <w:t>-</w:t>
      </w:r>
      <w:r w:rsidR="00FD1158" w:rsidRPr="00FD1158">
        <w:rPr>
          <w:rFonts w:ascii="Helvetica" w:eastAsia="Times New Roman" w:hAnsi="Helvetica" w:cs="Helvetica"/>
          <w:b/>
        </w:rPr>
        <w:t xml:space="preserve"> </w:t>
      </w:r>
      <w:r w:rsidRPr="00FD1158">
        <w:rPr>
          <w:rFonts w:ascii="Helvetica" w:eastAsia="Times New Roman" w:hAnsi="Helvetica" w:cs="Helvetica"/>
        </w:rPr>
        <w:t>material sourced from publications issued by the Bank of England.</w:t>
      </w:r>
    </w:p>
    <w:p w:rsidR="0087316F" w:rsidRPr="00920BB4" w:rsidRDefault="0087316F" w:rsidP="007E5CBD">
      <w:pPr>
        <w:shd w:val="clear" w:color="auto" w:fill="FFFFFF"/>
        <w:spacing w:after="0" w:line="240" w:lineRule="auto"/>
        <w:jc w:val="both"/>
        <w:rPr>
          <w:rFonts w:ascii="Helvetica" w:eastAsia="Times New Roman" w:hAnsi="Helvetica" w:cs="Helvetica"/>
        </w:rPr>
      </w:pPr>
      <w:r w:rsidRPr="00920BB4">
        <w:rPr>
          <w:rFonts w:ascii="Helvetica" w:eastAsia="Times New Roman" w:hAnsi="Helvetica" w:cs="Helvetica"/>
        </w:rPr>
        <w:t>In the United Kingdom, the economic re</w:t>
      </w:r>
      <w:r w:rsidR="00FD1158">
        <w:rPr>
          <w:rFonts w:ascii="Helvetica" w:eastAsia="Times New Roman" w:hAnsi="Helvetica" w:cs="Helvetica"/>
        </w:rPr>
        <w:t xml:space="preserve">covery remains weak and uneven. </w:t>
      </w:r>
      <w:r w:rsidRPr="00920BB4">
        <w:rPr>
          <w:rFonts w:ascii="Helvetica" w:eastAsia="Times New Roman" w:hAnsi="Helvetica" w:cs="Helvetica"/>
        </w:rPr>
        <w:t>Domestic demand increased moderately during 2012, but this was largely offset b</w:t>
      </w:r>
      <w:r w:rsidR="005F4A58">
        <w:rPr>
          <w:rFonts w:ascii="Helvetica" w:eastAsia="Times New Roman" w:hAnsi="Helvetica" w:cs="Helvetica"/>
        </w:rPr>
        <w:t>y a pronounced fall in exports.</w:t>
      </w:r>
      <w:r w:rsidRPr="00920BB4">
        <w:rPr>
          <w:rFonts w:ascii="Helvetica" w:eastAsia="Times New Roman" w:hAnsi="Helvetica" w:cs="Helvetica"/>
        </w:rPr>
        <w:t xml:space="preserve"> Employment continued to grow strongly. The weakness of productivity suggests that the financial crisis may still be weighing on the current effective supply capacity of the economy as well as on demand.</w:t>
      </w:r>
    </w:p>
    <w:p w:rsidR="0087316F" w:rsidRPr="00920BB4" w:rsidRDefault="0087316F" w:rsidP="007E5CBD">
      <w:pPr>
        <w:shd w:val="clear" w:color="auto" w:fill="FFFFFF"/>
        <w:spacing w:after="0" w:line="240" w:lineRule="auto"/>
        <w:jc w:val="both"/>
        <w:rPr>
          <w:rFonts w:ascii="Helvetica" w:eastAsia="Times New Roman" w:hAnsi="Helvetica" w:cs="Helvetica"/>
        </w:rPr>
      </w:pPr>
      <w:r w:rsidRPr="00920BB4">
        <w:rPr>
          <w:rFonts w:ascii="Helvetica" w:eastAsia="Times New Roman" w:hAnsi="Helvetica" w:cs="Helvetica"/>
        </w:rPr>
        <w:t> </w:t>
      </w:r>
    </w:p>
    <w:p w:rsidR="0087316F" w:rsidRPr="00920BB4" w:rsidRDefault="0087316F" w:rsidP="007E5CBD">
      <w:pPr>
        <w:shd w:val="clear" w:color="auto" w:fill="FFFFFF"/>
        <w:spacing w:after="0" w:line="240" w:lineRule="auto"/>
        <w:jc w:val="both"/>
        <w:rPr>
          <w:rFonts w:ascii="Helvetica" w:eastAsia="Times New Roman" w:hAnsi="Helvetica" w:cs="Helvetica"/>
        </w:rPr>
      </w:pPr>
      <w:r w:rsidRPr="00920BB4">
        <w:rPr>
          <w:rFonts w:ascii="Helvetica" w:eastAsia="Times New Roman" w:hAnsi="Helvetica" w:cs="Helvetica"/>
        </w:rPr>
        <w:t>The MPC judges that the growth of both demand and effective supply are likely to pick up gradually over the next year or so, supported by past asset purchases, an easing in credit conditions aided by the Funding for Lending Scheme, and a continuing improve</w:t>
      </w:r>
      <w:r w:rsidR="00AE300A">
        <w:rPr>
          <w:rFonts w:ascii="Helvetica" w:eastAsia="Times New Roman" w:hAnsi="Helvetica" w:cs="Helvetica"/>
        </w:rPr>
        <w:t>ment in the global environment.</w:t>
      </w:r>
      <w:r w:rsidRPr="00920BB4">
        <w:rPr>
          <w:rFonts w:ascii="Helvetica" w:eastAsia="Times New Roman" w:hAnsi="Helvetica" w:cs="Helvetica"/>
        </w:rPr>
        <w:t xml:space="preserve"> But the legacy of adjustment and repair left by the financial crisis means that the recovery is likely to remain weak by historical standards.</w:t>
      </w:r>
    </w:p>
    <w:p w:rsidR="0087316F" w:rsidRPr="00920BB4" w:rsidRDefault="0087316F" w:rsidP="007E5CBD">
      <w:pPr>
        <w:shd w:val="clear" w:color="auto" w:fill="FFFFFF"/>
        <w:spacing w:after="0" w:line="240" w:lineRule="auto"/>
        <w:jc w:val="both"/>
        <w:rPr>
          <w:rFonts w:ascii="Helvetica" w:eastAsia="Times New Roman" w:hAnsi="Helvetica" w:cs="Helvetica"/>
        </w:rPr>
      </w:pPr>
    </w:p>
    <w:p w:rsidR="0087316F" w:rsidRPr="00920BB4" w:rsidRDefault="0087316F" w:rsidP="007E5CBD">
      <w:pPr>
        <w:shd w:val="clear" w:color="auto" w:fill="FFFFFF"/>
        <w:spacing w:after="0" w:line="240" w:lineRule="auto"/>
        <w:jc w:val="both"/>
        <w:rPr>
          <w:rFonts w:ascii="Helvetica" w:eastAsia="Times New Roman" w:hAnsi="Helvetica" w:cs="Helvetica"/>
        </w:rPr>
      </w:pPr>
      <w:r w:rsidRPr="00920BB4">
        <w:rPr>
          <w:rFonts w:ascii="Helvetica" w:eastAsia="Times New Roman" w:hAnsi="Helvetica" w:cs="Helvetica"/>
        </w:rPr>
        <w:t>The main risks to the recovery c</w:t>
      </w:r>
      <w:r w:rsidR="00810B8B" w:rsidRPr="00920BB4">
        <w:rPr>
          <w:rFonts w:ascii="Helvetica" w:eastAsia="Times New Roman" w:hAnsi="Helvetica" w:cs="Helvetica"/>
        </w:rPr>
        <w:t>ontinue to emanate from abroad.</w:t>
      </w:r>
      <w:r w:rsidRPr="00920BB4">
        <w:rPr>
          <w:rFonts w:ascii="Helvetica" w:eastAsia="Times New Roman" w:hAnsi="Helvetica" w:cs="Helvetica"/>
        </w:rPr>
        <w:t xml:space="preserve"> Although financial tensions have abated since last summer, there remains a risk that the required adjustments to indebtedness and competitiveness within the euro are</w:t>
      </w:r>
      <w:r w:rsidR="00810B8B" w:rsidRPr="00920BB4">
        <w:rPr>
          <w:rFonts w:ascii="Helvetica" w:eastAsia="Times New Roman" w:hAnsi="Helvetica" w:cs="Helvetica"/>
        </w:rPr>
        <w:t>a occur in a disorderly manner.</w:t>
      </w:r>
      <w:r w:rsidRPr="00920BB4">
        <w:rPr>
          <w:rFonts w:ascii="Helvetica" w:eastAsia="Times New Roman" w:hAnsi="Helvetica" w:cs="Helvetica"/>
        </w:rPr>
        <w:t xml:space="preserve"> Although the </w:t>
      </w:r>
      <w:r w:rsidRPr="00D27BA4">
        <w:rPr>
          <w:rFonts w:ascii="Helvetica" w:eastAsia="Times New Roman" w:hAnsi="Helvetica" w:cs="Helvetica"/>
        </w:rPr>
        <w:t>Committee’s</w:t>
      </w:r>
      <w:r w:rsidRPr="00920BB4">
        <w:rPr>
          <w:rFonts w:ascii="Helvetica" w:eastAsia="Times New Roman" w:hAnsi="Helvetica" w:cs="Helvetica"/>
        </w:rPr>
        <w:t xml:space="preserve"> exclude the more extreme outcomes, they embody the assumption that those adjustments will nevertheless be associated with a prolonged period of weak growth and heightened uncertainty.</w:t>
      </w:r>
    </w:p>
    <w:p w:rsidR="0087316F" w:rsidRPr="00920BB4" w:rsidRDefault="0087316F" w:rsidP="007E5CBD">
      <w:pPr>
        <w:shd w:val="clear" w:color="auto" w:fill="FFFFFF"/>
        <w:spacing w:after="0" w:line="240" w:lineRule="auto"/>
        <w:jc w:val="both"/>
        <w:rPr>
          <w:rFonts w:ascii="Helvetica" w:eastAsia="Times New Roman" w:hAnsi="Helvetica" w:cs="Helvetica"/>
        </w:rPr>
      </w:pPr>
      <w:r w:rsidRPr="00920BB4">
        <w:rPr>
          <w:rFonts w:ascii="Helvetica" w:eastAsia="Times New Roman" w:hAnsi="Helvetica" w:cs="Helvetica"/>
        </w:rPr>
        <w:t>  </w:t>
      </w:r>
    </w:p>
    <w:p w:rsidR="007456E3" w:rsidRPr="001E0966" w:rsidRDefault="0087316F" w:rsidP="007E5CBD">
      <w:pPr>
        <w:shd w:val="clear" w:color="auto" w:fill="FFFFFF"/>
        <w:spacing w:after="0" w:line="240" w:lineRule="auto"/>
        <w:jc w:val="both"/>
        <w:rPr>
          <w:rFonts w:ascii="Helvetica" w:eastAsia="Times New Roman" w:hAnsi="Helvetica" w:cs="Helvetica"/>
          <w:b/>
        </w:rPr>
      </w:pPr>
      <w:r w:rsidRPr="001E0966">
        <w:rPr>
          <w:rFonts w:ascii="Helvetica" w:eastAsia="Times New Roman" w:hAnsi="Helvetica" w:cs="Helvetica"/>
          <w:b/>
        </w:rPr>
        <w:t>Taking those risks into account, the Committee’s best collective judgement is that the economy is likely to see a modest and sustained recovery over the next three years.</w:t>
      </w:r>
    </w:p>
    <w:p w:rsidR="007456E3" w:rsidRDefault="007456E3" w:rsidP="007E5CBD">
      <w:pPr>
        <w:spacing w:after="0" w:line="240" w:lineRule="auto"/>
        <w:rPr>
          <w:rFonts w:ascii="Helvetica" w:eastAsia="Times New Roman" w:hAnsi="Helvetica" w:cs="Helvetica"/>
          <w:b/>
        </w:rPr>
      </w:pPr>
      <w:r>
        <w:rPr>
          <w:rFonts w:ascii="Helvetica" w:eastAsia="Times New Roman" w:hAnsi="Helvetica" w:cs="Helvetica"/>
          <w:b/>
        </w:rPr>
        <w:br w:type="page"/>
      </w:r>
    </w:p>
    <w:p w:rsidR="004A647E" w:rsidRPr="004A647E" w:rsidRDefault="004A647E" w:rsidP="007E5CBD">
      <w:pPr>
        <w:rPr>
          <w:rStyle w:val="IntenseEmphasis"/>
        </w:rPr>
      </w:pPr>
      <w:r>
        <w:rPr>
          <w:rStyle w:val="BlueCompany"/>
          <w:color w:val="808080" w:themeColor="background1" w:themeShade="80"/>
          <w:sz w:val="48"/>
        </w:rPr>
        <w:lastRenderedPageBreak/>
        <w:t>5</w:t>
      </w:r>
      <w:r w:rsidR="00CC3E4D">
        <w:rPr>
          <w:rStyle w:val="BlueCompany"/>
          <w:color w:val="808080" w:themeColor="background1" w:themeShade="80"/>
          <w:sz w:val="48"/>
        </w:rPr>
        <w:t>.</w:t>
      </w:r>
      <w:r w:rsidRPr="004A647E">
        <w:rPr>
          <w:rStyle w:val="BlueCompany"/>
          <w:sz w:val="48"/>
        </w:rPr>
        <w:t xml:space="preserve"> </w:t>
      </w:r>
      <w:r w:rsidR="0087316F">
        <w:rPr>
          <w:rStyle w:val="BlueCompany"/>
          <w:sz w:val="48"/>
        </w:rPr>
        <w:t>Latest news</w:t>
      </w:r>
    </w:p>
    <w:p w:rsidR="0049639A" w:rsidRPr="00920BB4" w:rsidRDefault="0049639A" w:rsidP="007E5CBD">
      <w:pPr>
        <w:pStyle w:val="TextReport"/>
        <w:rPr>
          <w:rStyle w:val="BlueCompany"/>
          <w:rFonts w:cs="Helvetica"/>
        </w:rPr>
      </w:pPr>
    </w:p>
    <w:p w:rsidR="0087316F" w:rsidRPr="00920BB4" w:rsidRDefault="0087316F" w:rsidP="007E5CBD">
      <w:pPr>
        <w:pStyle w:val="Heading2"/>
        <w:shd w:val="clear" w:color="auto" w:fill="FFFFFF"/>
        <w:spacing w:before="0" w:after="180" w:line="360" w:lineRule="atLeast"/>
        <w:textAlignment w:val="baseline"/>
        <w:rPr>
          <w:rFonts w:ascii="Helvetica" w:hAnsi="Helvetica" w:cs="Helvetica"/>
          <w:bCs w:val="0"/>
          <w:color w:val="auto"/>
          <w:sz w:val="22"/>
          <w:szCs w:val="22"/>
        </w:rPr>
      </w:pPr>
      <w:r w:rsidRPr="00920BB4">
        <w:rPr>
          <w:rFonts w:ascii="Helvetica" w:hAnsi="Helvetica" w:cs="Helvetica"/>
          <w:bCs w:val="0"/>
          <w:color w:val="auto"/>
          <w:sz w:val="22"/>
          <w:szCs w:val="22"/>
        </w:rPr>
        <w:t>Pension liberation</w:t>
      </w:r>
    </w:p>
    <w:p w:rsidR="0087316F" w:rsidRPr="001E0966" w:rsidRDefault="0087316F" w:rsidP="007E5CBD">
      <w:pPr>
        <w:shd w:val="clear" w:color="auto" w:fill="FFFFFF"/>
        <w:spacing w:after="0" w:line="240" w:lineRule="auto"/>
        <w:jc w:val="both"/>
        <w:rPr>
          <w:rFonts w:ascii="Helvetica" w:eastAsia="Times New Roman" w:hAnsi="Helvetica" w:cs="Helvetica"/>
        </w:rPr>
      </w:pPr>
      <w:r w:rsidRPr="001E0966">
        <w:rPr>
          <w:rFonts w:ascii="Helvetica" w:eastAsia="Times New Roman" w:hAnsi="Helvetica" w:cs="Helvetica"/>
        </w:rPr>
        <w:t xml:space="preserve">Sadly, the present economic climate is also proving rich pickings for fraudsters who prey on those </w:t>
      </w:r>
      <w:r w:rsidR="00364423" w:rsidRPr="001E0966">
        <w:rPr>
          <w:rFonts w:ascii="Helvetica" w:eastAsia="Times New Roman" w:hAnsi="Helvetica" w:cs="Helvetica"/>
        </w:rPr>
        <w:t xml:space="preserve">facing financial difficulties. </w:t>
      </w:r>
      <w:r w:rsidRPr="001E0966">
        <w:rPr>
          <w:rFonts w:ascii="Helvetica" w:eastAsia="Times New Roman" w:hAnsi="Helvetica" w:cs="Helvetica"/>
        </w:rPr>
        <w:t>The problem of pension liberation fraud is now widespread and we are one of the firms seeking to prevent this abuse.</w:t>
      </w:r>
    </w:p>
    <w:p w:rsidR="0087316F" w:rsidRPr="001E0966" w:rsidRDefault="0087316F" w:rsidP="007E5CBD">
      <w:pPr>
        <w:shd w:val="clear" w:color="auto" w:fill="FFFFFF"/>
        <w:spacing w:after="0" w:line="240" w:lineRule="auto"/>
        <w:jc w:val="both"/>
        <w:rPr>
          <w:rFonts w:ascii="Helvetica" w:eastAsia="Times New Roman" w:hAnsi="Helvetica" w:cs="Helvetica"/>
        </w:rPr>
      </w:pPr>
      <w:r w:rsidRPr="001E0966">
        <w:rPr>
          <w:rFonts w:ascii="Helvetica" w:eastAsia="Times New Roman" w:hAnsi="Helvetica" w:cs="Helvetica"/>
        </w:rPr>
        <w:t xml:space="preserve">If you have therefore been offered a financial incentive for an investment, we strongly recommend that you notify us in order that we can ensure that the operator is blocked from further business. </w:t>
      </w:r>
    </w:p>
    <w:p w:rsidR="001E0966" w:rsidRDefault="001E0966" w:rsidP="007E5CBD">
      <w:pPr>
        <w:shd w:val="clear" w:color="auto" w:fill="FFFFFF"/>
        <w:spacing w:after="0" w:line="240" w:lineRule="auto"/>
        <w:jc w:val="both"/>
        <w:rPr>
          <w:rFonts w:ascii="Helvetica" w:eastAsia="Times New Roman" w:hAnsi="Helvetica" w:cs="Helvetica"/>
          <w:b/>
        </w:rPr>
      </w:pPr>
    </w:p>
    <w:p w:rsidR="0087316F" w:rsidRDefault="0087316F" w:rsidP="007E5CBD">
      <w:pPr>
        <w:shd w:val="clear" w:color="auto" w:fill="FFFFFF"/>
        <w:spacing w:after="0" w:line="240" w:lineRule="auto"/>
        <w:jc w:val="both"/>
        <w:rPr>
          <w:rFonts w:ascii="Helvetica" w:eastAsia="Times New Roman" w:hAnsi="Helvetica" w:cs="Helvetica"/>
          <w:b/>
        </w:rPr>
      </w:pPr>
      <w:r w:rsidRPr="00920BB4">
        <w:rPr>
          <w:rFonts w:ascii="Helvetica" w:eastAsia="Times New Roman" w:hAnsi="Helvetica" w:cs="Helvetica"/>
          <w:b/>
        </w:rPr>
        <w:t>New Code of Conduct for SSAS</w:t>
      </w:r>
    </w:p>
    <w:p w:rsidR="00DA041E" w:rsidRPr="00920BB4" w:rsidRDefault="00DA041E" w:rsidP="007E5CBD">
      <w:pPr>
        <w:shd w:val="clear" w:color="auto" w:fill="FFFFFF"/>
        <w:spacing w:after="0" w:line="240" w:lineRule="auto"/>
        <w:jc w:val="both"/>
        <w:rPr>
          <w:rFonts w:ascii="Helvetica" w:eastAsia="Times New Roman" w:hAnsi="Helvetica" w:cs="Helvetica"/>
          <w:b/>
        </w:rPr>
      </w:pPr>
    </w:p>
    <w:p w:rsidR="0087316F" w:rsidRPr="00920BB4" w:rsidRDefault="0087316F" w:rsidP="007E5CBD">
      <w:pPr>
        <w:pStyle w:val="NormalWeb"/>
        <w:shd w:val="clear" w:color="auto" w:fill="FFFFFF"/>
        <w:spacing w:before="0" w:beforeAutospacing="0" w:after="0" w:afterAutospacing="0" w:line="255" w:lineRule="atLeast"/>
        <w:jc w:val="both"/>
        <w:rPr>
          <w:rFonts w:ascii="Helvetica" w:hAnsi="Helvetica" w:cs="Helvetica"/>
          <w:sz w:val="22"/>
          <w:szCs w:val="22"/>
          <w:lang w:eastAsia="en-US"/>
        </w:rPr>
      </w:pPr>
      <w:r w:rsidRPr="00920BB4">
        <w:rPr>
          <w:rFonts w:ascii="Helvetica" w:hAnsi="Helvetica" w:cs="Helvetica"/>
          <w:sz w:val="22"/>
          <w:szCs w:val="22"/>
          <w:lang w:eastAsia="en-US"/>
        </w:rPr>
        <w:t xml:space="preserve">The Pensions Regulator is concerned with the regulation of </w:t>
      </w:r>
      <w:proofErr w:type="spellStart"/>
      <w:r w:rsidRPr="00920BB4">
        <w:rPr>
          <w:rFonts w:ascii="Helvetica" w:hAnsi="Helvetica" w:cs="Helvetica"/>
          <w:sz w:val="22"/>
          <w:szCs w:val="22"/>
          <w:lang w:eastAsia="en-US"/>
        </w:rPr>
        <w:t>self administered</w:t>
      </w:r>
      <w:proofErr w:type="spellEnd"/>
      <w:r w:rsidRPr="00920BB4">
        <w:rPr>
          <w:rFonts w:ascii="Helvetica" w:hAnsi="Helvetica" w:cs="Helvetica"/>
          <w:sz w:val="22"/>
          <w:szCs w:val="22"/>
          <w:lang w:eastAsia="en-US"/>
        </w:rPr>
        <w:t xml:space="preserve"> schemes and has issued guidance in connection with the regulation of SSAS and occupational schemes generally. We welcome that revised code of conduct.</w:t>
      </w:r>
    </w:p>
    <w:p w:rsidR="00810B8B" w:rsidRPr="00920BB4" w:rsidRDefault="00810B8B" w:rsidP="007E5CBD">
      <w:pPr>
        <w:pStyle w:val="NormalWeb"/>
        <w:shd w:val="clear" w:color="auto" w:fill="FFFFFF"/>
        <w:spacing w:before="0" w:beforeAutospacing="0" w:after="0" w:afterAutospacing="0" w:line="255" w:lineRule="atLeast"/>
        <w:jc w:val="both"/>
        <w:rPr>
          <w:rFonts w:ascii="Helvetica" w:hAnsi="Helvetica" w:cs="Helvetica"/>
          <w:sz w:val="22"/>
          <w:szCs w:val="22"/>
          <w:lang w:eastAsia="en-US"/>
        </w:rPr>
      </w:pPr>
    </w:p>
    <w:p w:rsidR="0087316F" w:rsidRPr="00920BB4" w:rsidRDefault="0087316F" w:rsidP="007E5CBD">
      <w:pPr>
        <w:pStyle w:val="NormalWeb"/>
        <w:shd w:val="clear" w:color="auto" w:fill="FFFFFF"/>
        <w:spacing w:before="0" w:beforeAutospacing="0" w:after="0" w:afterAutospacing="0" w:line="255" w:lineRule="atLeast"/>
        <w:jc w:val="both"/>
        <w:rPr>
          <w:rFonts w:ascii="Helvetica" w:hAnsi="Helvetica" w:cs="Helvetica"/>
          <w:sz w:val="22"/>
          <w:szCs w:val="22"/>
          <w:lang w:eastAsia="en-US"/>
        </w:rPr>
      </w:pPr>
      <w:r w:rsidRPr="00920BB4">
        <w:rPr>
          <w:rFonts w:ascii="Helvetica" w:hAnsi="Helvetica" w:cs="Helvetica"/>
          <w:sz w:val="22"/>
          <w:szCs w:val="22"/>
          <w:lang w:eastAsia="en-US"/>
        </w:rPr>
        <w:t>It is aimed at assisting trustees who wish their scheme to meet the quality standards that form the basis of a SSAS and sets out what the regulator considers that trustees sho</w:t>
      </w:r>
      <w:r w:rsidR="00364423">
        <w:rPr>
          <w:rFonts w:ascii="Helvetica" w:hAnsi="Helvetica" w:cs="Helvetica"/>
          <w:sz w:val="22"/>
          <w:szCs w:val="22"/>
          <w:lang w:eastAsia="en-US"/>
        </w:rPr>
        <w:t xml:space="preserve">uld do to meet those standards. </w:t>
      </w:r>
      <w:r w:rsidRPr="00920BB4">
        <w:rPr>
          <w:rFonts w:ascii="Helvetica" w:hAnsi="Helvetica" w:cs="Helvetica"/>
          <w:sz w:val="22"/>
          <w:szCs w:val="22"/>
          <w:lang w:eastAsia="en-US"/>
        </w:rPr>
        <w:t>Details of those codes are being finalised and we will issue a special newsletter informing you of the changes and when they will come int</w:t>
      </w:r>
      <w:r w:rsidR="00D27BA4">
        <w:rPr>
          <w:rFonts w:ascii="Helvetica" w:hAnsi="Helvetica" w:cs="Helvetica"/>
          <w:sz w:val="22"/>
          <w:szCs w:val="22"/>
          <w:lang w:eastAsia="en-US"/>
        </w:rPr>
        <w:t>o effect</w:t>
      </w:r>
      <w:r w:rsidRPr="00920BB4">
        <w:rPr>
          <w:rFonts w:ascii="Helvetica" w:hAnsi="Helvetica" w:cs="Helvetica"/>
          <w:sz w:val="22"/>
          <w:szCs w:val="22"/>
          <w:lang w:eastAsia="en-US"/>
        </w:rPr>
        <w:t>.</w:t>
      </w:r>
    </w:p>
    <w:p w:rsidR="0087316F" w:rsidRDefault="0087316F" w:rsidP="007E5CBD">
      <w:pPr>
        <w:pStyle w:val="ListParagraph"/>
        <w:ind w:left="0"/>
        <w:rPr>
          <w:rFonts w:cs="Calibri"/>
          <w:sz w:val="23"/>
          <w:szCs w:val="23"/>
        </w:rPr>
      </w:pPr>
    </w:p>
    <w:p w:rsidR="00D27BA4" w:rsidRPr="00606227" w:rsidRDefault="00D27BA4" w:rsidP="007E5CBD">
      <w:pPr>
        <w:pStyle w:val="ListParagraph"/>
        <w:spacing w:after="0" w:line="300" w:lineRule="atLeast"/>
        <w:ind w:left="0"/>
        <w:jc w:val="both"/>
        <w:rPr>
          <w:rFonts w:ascii="Helvetica" w:hAnsi="Helvetica" w:cs="Helvetica"/>
          <w:b/>
        </w:rPr>
      </w:pPr>
      <w:r w:rsidRPr="00606227">
        <w:rPr>
          <w:rFonts w:ascii="Helvetica" w:hAnsi="Helvetica" w:cs="Helvetica"/>
          <w:b/>
        </w:rPr>
        <w:t>Investing in Agricultural Land</w:t>
      </w:r>
    </w:p>
    <w:p w:rsidR="00D27BA4" w:rsidRDefault="00D27BA4" w:rsidP="007E5CBD">
      <w:pPr>
        <w:shd w:val="clear" w:color="auto" w:fill="FFFFFF"/>
        <w:spacing w:after="0" w:line="240" w:lineRule="auto"/>
        <w:jc w:val="both"/>
        <w:rPr>
          <w:rFonts w:ascii="Helvetica" w:eastAsia="Times New Roman" w:hAnsi="Helvetica" w:cs="Helvetica"/>
        </w:rPr>
      </w:pPr>
      <w:r w:rsidRPr="00606227">
        <w:rPr>
          <w:rFonts w:ascii="Helvetica" w:hAnsi="Helvetica" w:cs="Helvetica"/>
        </w:rPr>
        <w:br/>
      </w:r>
      <w:r w:rsidRPr="001E0966">
        <w:rPr>
          <w:rFonts w:ascii="Helvetica" w:eastAsia="Times New Roman" w:hAnsi="Helvetica" w:cs="Helvetica"/>
        </w:rPr>
        <w:t xml:space="preserve">We have seen schemes which have invested in agricultural land and increase in their value, this could be due to a relaxation in planning laws on conversion to commercial property. As you may know, farmers do not currently require planning permission to erect non-residential buildings on their land if those buildings are intended for agricultural use. The Department for Communities and Local Government has confirmed that only existing farm buildings will be eligible for the new change-of-use rules. New barns can also only </w:t>
      </w:r>
      <w:r w:rsidR="00F005AE" w:rsidRPr="001E0966">
        <w:rPr>
          <w:rFonts w:ascii="Helvetica" w:eastAsia="Times New Roman" w:hAnsi="Helvetica" w:cs="Helvetica"/>
        </w:rPr>
        <w:t xml:space="preserve">be </w:t>
      </w:r>
      <w:r w:rsidRPr="001E0966">
        <w:rPr>
          <w:rFonts w:ascii="Helvetica" w:eastAsia="Times New Roman" w:hAnsi="Helvetica" w:cs="Helvetica"/>
        </w:rPr>
        <w:t>converted after 10 years’ of agricultural use.</w:t>
      </w:r>
    </w:p>
    <w:p w:rsidR="001E0966" w:rsidRPr="001E0966" w:rsidRDefault="001E0966" w:rsidP="007E5CBD">
      <w:pPr>
        <w:shd w:val="clear" w:color="auto" w:fill="FFFFFF"/>
        <w:spacing w:after="0" w:line="240" w:lineRule="auto"/>
        <w:jc w:val="both"/>
        <w:rPr>
          <w:rFonts w:ascii="Helvetica" w:eastAsia="Times New Roman" w:hAnsi="Helvetica" w:cs="Helvetica"/>
        </w:rPr>
      </w:pPr>
    </w:p>
    <w:p w:rsidR="00EC0E4C" w:rsidRPr="001E0966" w:rsidRDefault="00D27BA4" w:rsidP="007E5CBD">
      <w:pPr>
        <w:shd w:val="clear" w:color="auto" w:fill="FFFFFF"/>
        <w:spacing w:after="0" w:line="240" w:lineRule="auto"/>
        <w:jc w:val="both"/>
        <w:rPr>
          <w:rFonts w:ascii="Helvetica" w:eastAsia="Times New Roman" w:hAnsi="Helvetica" w:cs="Helvetica"/>
        </w:rPr>
      </w:pPr>
      <w:r w:rsidRPr="001E0966">
        <w:rPr>
          <w:rFonts w:ascii="Helvetica" w:eastAsia="Times New Roman" w:hAnsi="Helvetica" w:cs="Helvetica"/>
        </w:rPr>
        <w:t>The new rules will also increase the scope of “permitted development” rights that facilitate changing the use of offices into shops. A development from this will be conversion to residential property and therefore long</w:t>
      </w:r>
      <w:r w:rsidR="00F005AE" w:rsidRPr="001E0966">
        <w:rPr>
          <w:rFonts w:ascii="Helvetica" w:eastAsia="Times New Roman" w:hAnsi="Helvetica" w:cs="Helvetica"/>
        </w:rPr>
        <w:t xml:space="preserve"> </w:t>
      </w:r>
      <w:r w:rsidRPr="001E0966">
        <w:rPr>
          <w:rFonts w:ascii="Helvetica" w:eastAsia="Times New Roman" w:hAnsi="Helvetica" w:cs="Helvetica"/>
        </w:rPr>
        <w:t xml:space="preserve">term investment into agricultural land with pre-existing non-residential buildings could offer a good investment yield.  </w:t>
      </w:r>
    </w:p>
    <w:p w:rsidR="00EC0E4C" w:rsidRDefault="00EC0E4C" w:rsidP="007E5CBD">
      <w:pPr>
        <w:shd w:val="clear" w:color="auto" w:fill="FFFFFF"/>
        <w:spacing w:after="0" w:line="240" w:lineRule="auto"/>
        <w:jc w:val="both"/>
        <w:rPr>
          <w:rFonts w:ascii="Helvetica" w:hAnsi="Helvetica" w:cs="Helvetica"/>
        </w:rPr>
      </w:pPr>
    </w:p>
    <w:p w:rsidR="00EC0E4C" w:rsidRDefault="00EC0E4C" w:rsidP="007E5CBD">
      <w:pPr>
        <w:spacing w:after="0" w:line="240" w:lineRule="auto"/>
        <w:rPr>
          <w:rFonts w:ascii="Helvetica" w:hAnsi="Helvetica" w:cs="Helvetica"/>
        </w:rPr>
      </w:pPr>
    </w:p>
    <w:p w:rsidR="00B4391A" w:rsidRPr="00920BB4" w:rsidRDefault="00B4391A" w:rsidP="007E5CBD">
      <w:pPr>
        <w:spacing w:after="0" w:line="240" w:lineRule="auto"/>
        <w:rPr>
          <w:rFonts w:ascii="Helvetica" w:eastAsia="Times New Roman" w:hAnsi="Helvetica" w:cs="Helvetica"/>
        </w:rPr>
      </w:pPr>
    </w:p>
    <w:sectPr w:rsidR="00B4391A" w:rsidRPr="00920BB4" w:rsidSect="007E5CBD">
      <w:footerReference w:type="even" r:id="rId14"/>
      <w:footerReference w:type="default" r:id="rId15"/>
      <w:footerReference w:type="first" r:id="rId16"/>
      <w:pgSz w:w="11904" w:h="16834"/>
      <w:pgMar w:top="1440" w:right="1304" w:bottom="1440" w:left="1440" w:header="28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9FD" w:rsidRDefault="008F49FD">
      <w:r>
        <w:separator/>
      </w:r>
    </w:p>
  </w:endnote>
  <w:endnote w:type="continuationSeparator" w:id="0">
    <w:p w:rsidR="008F49FD" w:rsidRDefault="008F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Light">
    <w:altName w:val="Z@R71BB.tmp"/>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793" w:rsidRDefault="0010425E" w:rsidP="0037775A">
    <w:pPr>
      <w:pStyle w:val="Footer"/>
      <w:framePr w:wrap="around" w:vAnchor="text" w:hAnchor="margin" w:xAlign="right" w:y="1"/>
      <w:rPr>
        <w:rStyle w:val="PageNumber"/>
      </w:rPr>
    </w:pPr>
    <w:r>
      <w:rPr>
        <w:rStyle w:val="PageNumber"/>
      </w:rPr>
      <w:fldChar w:fldCharType="begin"/>
    </w:r>
    <w:r w:rsidR="00981793">
      <w:rPr>
        <w:rStyle w:val="PageNumber"/>
      </w:rPr>
      <w:instrText xml:space="preserve">PAGE  </w:instrText>
    </w:r>
    <w:r>
      <w:rPr>
        <w:rStyle w:val="PageNumber"/>
      </w:rPr>
      <w:fldChar w:fldCharType="end"/>
    </w:r>
  </w:p>
  <w:p w:rsidR="00981793" w:rsidRDefault="00981793" w:rsidP="00A427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793" w:rsidRDefault="0010425E" w:rsidP="0037775A">
    <w:pPr>
      <w:pStyle w:val="Footer"/>
      <w:framePr w:wrap="around" w:vAnchor="text" w:hAnchor="margin" w:xAlign="right" w:y="1"/>
      <w:rPr>
        <w:rStyle w:val="PageNumber"/>
      </w:rPr>
    </w:pPr>
    <w:r>
      <w:rPr>
        <w:rStyle w:val="PageNumber"/>
      </w:rPr>
      <w:fldChar w:fldCharType="begin"/>
    </w:r>
    <w:r w:rsidR="00981793">
      <w:rPr>
        <w:rStyle w:val="PageNumber"/>
      </w:rPr>
      <w:instrText xml:space="preserve">PAGE  </w:instrText>
    </w:r>
    <w:r>
      <w:rPr>
        <w:rStyle w:val="PageNumber"/>
      </w:rPr>
      <w:fldChar w:fldCharType="separate"/>
    </w:r>
    <w:r w:rsidR="00BD5A4C">
      <w:rPr>
        <w:rStyle w:val="PageNumber"/>
        <w:noProof/>
      </w:rPr>
      <w:t>12</w:t>
    </w:r>
    <w:r>
      <w:rPr>
        <w:rStyle w:val="PageNumber"/>
      </w:rPr>
      <w:fldChar w:fldCharType="end"/>
    </w:r>
  </w:p>
  <w:p w:rsidR="00981793" w:rsidRDefault="00981793" w:rsidP="00A4275F">
    <w:pPr>
      <w:pStyle w:val="Footer"/>
      <w:ind w:right="360"/>
    </w:pPr>
    <w:r>
      <w:rPr>
        <w:noProof/>
        <w:lang w:eastAsia="en-GB"/>
      </w:rPr>
      <w:drawing>
        <wp:inline distT="0" distB="0" distL="0" distR="0" wp14:anchorId="2B5B88FB" wp14:editId="71A2E131">
          <wp:extent cx="4432300" cy="165667"/>
          <wp:effectExtent l="0" t="0" r="0" b="0"/>
          <wp:docPr id="3"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793" w:rsidRPr="00227EA8" w:rsidRDefault="00981793" w:rsidP="00227EA8">
    <w:pPr>
      <w:pStyle w:val="Footer"/>
      <w:jc w:val="right"/>
      <w:rPr>
        <w:rFonts w:ascii="Helvetica Light" w:hAnsi="Helvetica Light"/>
      </w:rPr>
    </w:pPr>
    <w:r w:rsidRPr="00227EA8">
      <w:rPr>
        <w:rFonts w:ascii="Helvetica Light" w:hAnsi="Helvetica Light"/>
        <w:noProof/>
        <w:lang w:eastAsia="en-GB"/>
      </w:rPr>
      <w:drawing>
        <wp:anchor distT="0" distB="0" distL="114300" distR="114300" simplePos="0" relativeHeight="251658752" behindDoc="1" locked="0" layoutInCell="1" allowOverlap="1" wp14:anchorId="10A6171B" wp14:editId="4ED1157D">
          <wp:simplePos x="0" y="0"/>
          <wp:positionH relativeFrom="column">
            <wp:posOffset>2600960</wp:posOffset>
          </wp:positionH>
          <wp:positionV relativeFrom="paragraph">
            <wp:posOffset>204470</wp:posOffset>
          </wp:positionV>
          <wp:extent cx="2253615" cy="469900"/>
          <wp:effectExtent l="25400" t="0" r="6985" b="0"/>
          <wp:wrapNone/>
          <wp:docPr id="2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1"/>
                  <a:stretch>
                    <a:fillRect/>
                  </a:stretch>
                </pic:blipFill>
                <pic:spPr>
                  <a:xfrm>
                    <a:off x="0" y="0"/>
                    <a:ext cx="2253615" cy="469900"/>
                  </a:xfrm>
                  <a:prstGeom prst="rect">
                    <a:avLst/>
                  </a:prstGeom>
                </pic:spPr>
              </pic:pic>
            </a:graphicData>
          </a:graphic>
        </wp:anchor>
      </w:drawing>
    </w:r>
    <w:r>
      <w:rPr>
        <w:rFonts w:ascii="Helvetica Light" w:hAnsi="Helvetica Light"/>
      </w:rPr>
      <w:t xml:space="preserve">          P</w:t>
    </w:r>
    <w:r w:rsidRPr="00227EA8">
      <w:rPr>
        <w:rFonts w:ascii="Helvetica Light" w:hAnsi="Helvetica Light"/>
      </w:rPr>
      <w:t>repared by</w:t>
    </w:r>
  </w:p>
  <w:p w:rsidR="00981793" w:rsidRDefault="009817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9FD" w:rsidRDefault="008F49FD">
      <w:r>
        <w:separator/>
      </w:r>
    </w:p>
  </w:footnote>
  <w:footnote w:type="continuationSeparator" w:id="0">
    <w:p w:rsidR="008F49FD" w:rsidRDefault="008F4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C58A7"/>
    <w:multiLevelType w:val="hybridMultilevel"/>
    <w:tmpl w:val="98C4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392AA8"/>
    <w:multiLevelType w:val="hybridMultilevel"/>
    <w:tmpl w:val="20A49D3A"/>
    <w:lvl w:ilvl="0" w:tplc="08090001">
      <w:start w:val="1"/>
      <w:numFmt w:val="bullet"/>
      <w:lvlText w:val=""/>
      <w:lvlJc w:val="left"/>
      <w:pPr>
        <w:ind w:left="768" w:hanging="360"/>
      </w:pPr>
      <w:rPr>
        <w:rFonts w:ascii="Symbol" w:hAnsi="Symbol" w:hint="default"/>
      </w:rPr>
    </w:lvl>
    <w:lvl w:ilvl="1" w:tplc="91BA0F34">
      <w:numFmt w:val="bullet"/>
      <w:lvlText w:val="-"/>
      <w:lvlJc w:val="left"/>
      <w:pPr>
        <w:ind w:left="1488" w:hanging="360"/>
      </w:pPr>
      <w:rPr>
        <w:rFonts w:ascii="Calibri" w:eastAsia="Calibri" w:hAnsi="Calibri" w:cs="MinionPro-Regular"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alibri"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alibri" w:hint="default"/>
      </w:rPr>
    </w:lvl>
    <w:lvl w:ilvl="8" w:tplc="08090005" w:tentative="1">
      <w:start w:val="1"/>
      <w:numFmt w:val="bullet"/>
      <w:lvlText w:val=""/>
      <w:lvlJc w:val="left"/>
      <w:pPr>
        <w:ind w:left="6528" w:hanging="360"/>
      </w:pPr>
      <w:rPr>
        <w:rFonts w:ascii="Wingdings" w:hAnsi="Wingdings" w:hint="default"/>
      </w:rPr>
    </w:lvl>
  </w:abstractNum>
  <w:abstractNum w:abstractNumId="2">
    <w:nsid w:val="34196DB8"/>
    <w:multiLevelType w:val="hybridMultilevel"/>
    <w:tmpl w:val="FF144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4F2210"/>
    <w:multiLevelType w:val="hybridMultilevel"/>
    <w:tmpl w:val="E89C3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B0B53F1"/>
    <w:multiLevelType w:val="hybridMultilevel"/>
    <w:tmpl w:val="2C7A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MinionPro-Regular"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MinionPro-Regular"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MinionPro-Regular"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2E0371"/>
    <w:multiLevelType w:val="hybridMultilevel"/>
    <w:tmpl w:val="2D543A04"/>
    <w:lvl w:ilvl="0" w:tplc="F3DA7ECA">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defaultTabStop w:val="284"/>
  <w:drawingGridHorizontalSpacing w:val="360"/>
  <w:drawingGridVerticalSpacing w:val="360"/>
  <w:displayHorizontalDrawingGridEvery w:val="0"/>
  <w:displayVerticalDrawingGridEvery w:val="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8C"/>
    <w:rsid w:val="000874E6"/>
    <w:rsid w:val="000A3B9C"/>
    <w:rsid w:val="000C2146"/>
    <w:rsid w:val="0010425E"/>
    <w:rsid w:val="001049C9"/>
    <w:rsid w:val="00152BA0"/>
    <w:rsid w:val="00185A86"/>
    <w:rsid w:val="001E0966"/>
    <w:rsid w:val="001E12EE"/>
    <w:rsid w:val="001E4CD1"/>
    <w:rsid w:val="002123FA"/>
    <w:rsid w:val="00227EA8"/>
    <w:rsid w:val="002319DD"/>
    <w:rsid w:val="00276386"/>
    <w:rsid w:val="00280AEF"/>
    <w:rsid w:val="002930D3"/>
    <w:rsid w:val="002E1705"/>
    <w:rsid w:val="003059A6"/>
    <w:rsid w:val="003227BF"/>
    <w:rsid w:val="00364423"/>
    <w:rsid w:val="0037630D"/>
    <w:rsid w:val="0037775A"/>
    <w:rsid w:val="00392F07"/>
    <w:rsid w:val="00395679"/>
    <w:rsid w:val="003A609C"/>
    <w:rsid w:val="003D712E"/>
    <w:rsid w:val="00413389"/>
    <w:rsid w:val="004468FD"/>
    <w:rsid w:val="0049639A"/>
    <w:rsid w:val="004A647E"/>
    <w:rsid w:val="004C049E"/>
    <w:rsid w:val="004E0476"/>
    <w:rsid w:val="004F3DAF"/>
    <w:rsid w:val="005A354C"/>
    <w:rsid w:val="005E309F"/>
    <w:rsid w:val="005E414C"/>
    <w:rsid w:val="005F240A"/>
    <w:rsid w:val="005F4A58"/>
    <w:rsid w:val="006075A0"/>
    <w:rsid w:val="006D28FF"/>
    <w:rsid w:val="006E07BA"/>
    <w:rsid w:val="007173F5"/>
    <w:rsid w:val="00736104"/>
    <w:rsid w:val="007456E3"/>
    <w:rsid w:val="007C2AA0"/>
    <w:rsid w:val="007E5CBD"/>
    <w:rsid w:val="007F2730"/>
    <w:rsid w:val="00810B8B"/>
    <w:rsid w:val="00851423"/>
    <w:rsid w:val="00853209"/>
    <w:rsid w:val="00856231"/>
    <w:rsid w:val="0087316F"/>
    <w:rsid w:val="008C4B8A"/>
    <w:rsid w:val="008F49FD"/>
    <w:rsid w:val="008F5A1A"/>
    <w:rsid w:val="00916905"/>
    <w:rsid w:val="00920BB4"/>
    <w:rsid w:val="00945F48"/>
    <w:rsid w:val="00952E3A"/>
    <w:rsid w:val="00981793"/>
    <w:rsid w:val="009F7109"/>
    <w:rsid w:val="00A4275F"/>
    <w:rsid w:val="00A65E9B"/>
    <w:rsid w:val="00AC32C2"/>
    <w:rsid w:val="00AE300A"/>
    <w:rsid w:val="00B134A6"/>
    <w:rsid w:val="00B156C6"/>
    <w:rsid w:val="00B43017"/>
    <w:rsid w:val="00B4391A"/>
    <w:rsid w:val="00BD5A4C"/>
    <w:rsid w:val="00C25AB3"/>
    <w:rsid w:val="00CA27F2"/>
    <w:rsid w:val="00CC3E4D"/>
    <w:rsid w:val="00CE3F69"/>
    <w:rsid w:val="00D27BA4"/>
    <w:rsid w:val="00D3032C"/>
    <w:rsid w:val="00D57A11"/>
    <w:rsid w:val="00D81439"/>
    <w:rsid w:val="00D8173E"/>
    <w:rsid w:val="00DA041E"/>
    <w:rsid w:val="00DA268C"/>
    <w:rsid w:val="00DA7B0D"/>
    <w:rsid w:val="00DB143E"/>
    <w:rsid w:val="00E54652"/>
    <w:rsid w:val="00E841E2"/>
    <w:rsid w:val="00EC0E4C"/>
    <w:rsid w:val="00EC5B4F"/>
    <w:rsid w:val="00F005AE"/>
    <w:rsid w:val="00F61A12"/>
    <w:rsid w:val="00F63139"/>
    <w:rsid w:val="00F84FFC"/>
    <w:rsid w:val="00FC0276"/>
    <w:rsid w:val="00FD1158"/>
    <w:rsid w:val="00FE7129"/>
    <w:rsid w:val="00FF67B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docId w15:val="{7C188C6E-C5BC-4B1B-8FDA-A357B41E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7F2"/>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rsid w:val="00873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7EA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Sig">
    <w:name w:val="Sig"/>
    <w:basedOn w:val="Text"/>
    <w:qFormat/>
    <w:rsid w:val="00945F48"/>
    <w:rPr>
      <w:rFonts w:ascii="Helvetica Light" w:hAnsi="Helvetica Light"/>
      <w:i/>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customStyle="1" w:styleId="Name">
    <w:name w:val="Name"/>
    <w:basedOn w:val="Normal"/>
    <w:qFormat/>
    <w:rsid w:val="00E54652"/>
    <w:rPr>
      <w:rFonts w:ascii="Helvetica" w:hAnsi="Helvetica"/>
      <w:b/>
      <w:color w:val="7F7F7F" w:themeColor="text1" w:themeTint="80"/>
      <w:sz w:val="24"/>
      <w:szCs w:val="24"/>
    </w:rPr>
  </w:style>
  <w:style w:type="paragraph" w:customStyle="1" w:styleId="Company">
    <w:name w:val="Company"/>
    <w:basedOn w:val="Name"/>
    <w:qFormat/>
    <w:rsid w:val="00E54652"/>
  </w:style>
  <w:style w:type="paragraph" w:customStyle="1" w:styleId="Text">
    <w:name w:val="Text"/>
    <w:basedOn w:val="Normal"/>
    <w:qFormat/>
    <w:rsid w:val="0037775A"/>
    <w:rPr>
      <w:rFonts w:ascii="Helvetica" w:hAnsi="Helvetica"/>
      <w:szCs w:val="24"/>
    </w:rPr>
  </w:style>
  <w:style w:type="paragraph" w:styleId="NoSpacing">
    <w:name w:val="No Spacing"/>
    <w:uiPriority w:val="1"/>
    <w:qFormat/>
    <w:rsid w:val="00E54652"/>
    <w:rPr>
      <w:rFonts w:ascii="Calibri" w:eastAsia="Calibri" w:hAnsi="Calibri" w:cs="Times New Roman"/>
      <w:sz w:val="22"/>
      <w:szCs w:val="22"/>
      <w:lang w:val="en-GB"/>
    </w:rPr>
  </w:style>
  <w:style w:type="character" w:customStyle="1" w:styleId="BlueCompany">
    <w:name w:val="Blue Company"/>
    <w:basedOn w:val="BookTitle"/>
    <w:rsid w:val="00280AEF"/>
    <w:rPr>
      <w:rFonts w:ascii="Helvetica" w:hAnsi="Helvetica"/>
      <w:b/>
      <w:color w:val="20B0D7"/>
      <w:sz w:val="24"/>
      <w:szCs w:val="24"/>
    </w:rPr>
  </w:style>
  <w:style w:type="character" w:styleId="BookTitle">
    <w:name w:val="Book Title"/>
    <w:basedOn w:val="DefaultParagraphFont"/>
    <w:rsid w:val="004E0476"/>
  </w:style>
  <w:style w:type="paragraph" w:styleId="NormalWeb">
    <w:name w:val="Normal (Web)"/>
    <w:basedOn w:val="Normal"/>
    <w:uiPriority w:val="99"/>
    <w:unhideWhenUsed/>
    <w:rsid w:val="005E414C"/>
    <w:pPr>
      <w:spacing w:before="100" w:beforeAutospacing="1" w:after="100" w:afterAutospacing="1" w:line="240" w:lineRule="auto"/>
    </w:pPr>
    <w:rPr>
      <w:rFonts w:ascii="Times New Roman" w:eastAsia="Times New Roman" w:hAnsi="Times New Roman"/>
      <w:sz w:val="24"/>
      <w:szCs w:val="24"/>
      <w:lang w:eastAsia="en-GB"/>
    </w:rPr>
  </w:style>
  <w:style w:type="character" w:styleId="PageNumber">
    <w:name w:val="page number"/>
    <w:basedOn w:val="DefaultParagraphFont"/>
    <w:rsid w:val="00A4275F"/>
  </w:style>
  <w:style w:type="paragraph" w:customStyle="1" w:styleId="BasicParagraph">
    <w:name w:val="[Basic Paragraph]"/>
    <w:basedOn w:val="Normal"/>
    <w:uiPriority w:val="99"/>
    <w:rsid w:val="00A4275F"/>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Emphasis">
    <w:name w:val="Emphasis"/>
    <w:uiPriority w:val="20"/>
    <w:qFormat/>
    <w:rsid w:val="00227EA8"/>
    <w:rPr>
      <w:i/>
      <w:iCs/>
    </w:rPr>
  </w:style>
  <w:style w:type="paragraph" w:styleId="Title">
    <w:name w:val="Title"/>
    <w:basedOn w:val="Normal"/>
    <w:next w:val="Normal"/>
    <w:link w:val="TitleChar"/>
    <w:uiPriority w:val="10"/>
    <w:qFormat/>
    <w:rsid w:val="00227EA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27EA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227EA8"/>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227EA8"/>
    <w:rPr>
      <w:rFonts w:ascii="Cambria" w:eastAsia="Times New Roman" w:hAnsi="Cambria" w:cs="Times New Roman"/>
      <w:i/>
      <w:iCs/>
      <w:color w:val="4F81BD"/>
      <w:spacing w:val="15"/>
    </w:rPr>
  </w:style>
  <w:style w:type="paragraph" w:styleId="Quote">
    <w:name w:val="Quote"/>
    <w:basedOn w:val="Normal"/>
    <w:next w:val="Normal"/>
    <w:link w:val="QuoteChar"/>
    <w:uiPriority w:val="29"/>
    <w:qFormat/>
    <w:rsid w:val="00227EA8"/>
    <w:rPr>
      <w:i/>
      <w:iCs/>
      <w:color w:val="000000"/>
    </w:rPr>
  </w:style>
  <w:style w:type="character" w:customStyle="1" w:styleId="QuoteChar">
    <w:name w:val="Quote Char"/>
    <w:basedOn w:val="DefaultParagraphFont"/>
    <w:link w:val="Quote"/>
    <w:uiPriority w:val="29"/>
    <w:rsid w:val="00227EA8"/>
    <w:rPr>
      <w:rFonts w:ascii="Calibri" w:eastAsia="Calibri" w:hAnsi="Calibri" w:cs="Times New Roman"/>
      <w:i/>
      <w:iCs/>
      <w:color w:val="000000"/>
      <w:sz w:val="22"/>
      <w:szCs w:val="22"/>
    </w:rPr>
  </w:style>
  <w:style w:type="character" w:styleId="IntenseEmphasis">
    <w:name w:val="Intense Emphasis"/>
    <w:uiPriority w:val="21"/>
    <w:qFormat/>
    <w:rsid w:val="00227EA8"/>
    <w:rPr>
      <w:b/>
      <w:bCs/>
      <w:i/>
      <w:iCs/>
      <w:color w:val="4F81BD"/>
    </w:rPr>
  </w:style>
  <w:style w:type="paragraph" w:customStyle="1" w:styleId="Headings">
    <w:name w:val="Headings"/>
    <w:basedOn w:val="Company"/>
    <w:qFormat/>
    <w:rsid w:val="00227EA8"/>
    <w:rPr>
      <w:sz w:val="48"/>
    </w:rPr>
  </w:style>
  <w:style w:type="character" w:customStyle="1" w:styleId="Heading2Char">
    <w:name w:val="Heading 2 Char"/>
    <w:basedOn w:val="DefaultParagraphFont"/>
    <w:link w:val="Heading2"/>
    <w:uiPriority w:val="9"/>
    <w:rsid w:val="00227EA8"/>
    <w:rPr>
      <w:rFonts w:ascii="Cambria" w:eastAsia="Times New Roman" w:hAnsi="Cambria" w:cs="Times New Roman"/>
      <w:b/>
      <w:bCs/>
      <w:color w:val="4F81BD"/>
      <w:sz w:val="26"/>
      <w:szCs w:val="26"/>
    </w:rPr>
  </w:style>
  <w:style w:type="paragraph" w:customStyle="1" w:styleId="TextReport">
    <w:name w:val="Text Report"/>
    <w:basedOn w:val="Normal"/>
    <w:qFormat/>
    <w:rsid w:val="004A647E"/>
    <w:rPr>
      <w:rFonts w:ascii="Helvetica Light" w:hAnsi="Helvetica Light" w:cs="Calibri"/>
      <w:szCs w:val="23"/>
    </w:rPr>
  </w:style>
  <w:style w:type="paragraph" w:styleId="ListParagraph">
    <w:name w:val="List Paragraph"/>
    <w:basedOn w:val="Normal"/>
    <w:uiPriority w:val="34"/>
    <w:qFormat/>
    <w:rsid w:val="004A647E"/>
    <w:pPr>
      <w:ind w:left="720"/>
      <w:contextualSpacing/>
    </w:pPr>
  </w:style>
  <w:style w:type="paragraph" w:customStyle="1" w:styleId="SubHeadsReport">
    <w:name w:val="Sub Heads Report"/>
    <w:basedOn w:val="Normal"/>
    <w:qFormat/>
    <w:rsid w:val="0049639A"/>
    <w:rPr>
      <w:rFonts w:ascii="Helvetica" w:hAnsi="Helvetica" w:cs="Calibri"/>
      <w:b/>
      <w:sz w:val="23"/>
      <w:szCs w:val="23"/>
    </w:rPr>
  </w:style>
  <w:style w:type="character" w:customStyle="1" w:styleId="apple-style-span">
    <w:name w:val="apple-style-span"/>
    <w:basedOn w:val="DefaultParagraphFont"/>
    <w:rsid w:val="006D28FF"/>
  </w:style>
  <w:style w:type="character" w:styleId="Strong">
    <w:name w:val="Strong"/>
    <w:uiPriority w:val="22"/>
    <w:qFormat/>
    <w:rsid w:val="006D28FF"/>
    <w:rPr>
      <w:b/>
      <w:bCs/>
    </w:rPr>
  </w:style>
  <w:style w:type="paragraph" w:customStyle="1" w:styleId="HeadingReport">
    <w:name w:val="Heading Report"/>
    <w:basedOn w:val="Normal"/>
    <w:qFormat/>
    <w:rsid w:val="00D57A11"/>
    <w:rPr>
      <w:sz w:val="48"/>
    </w:rPr>
  </w:style>
  <w:style w:type="character" w:customStyle="1" w:styleId="Heading1Char">
    <w:name w:val="Heading 1 Char"/>
    <w:basedOn w:val="DefaultParagraphFont"/>
    <w:link w:val="Heading1"/>
    <w:rsid w:val="0087316F"/>
    <w:rPr>
      <w:rFonts w:asciiTheme="majorHAnsi" w:eastAsiaTheme="majorEastAsia" w:hAnsiTheme="majorHAnsi" w:cstheme="majorBidi"/>
      <w:b/>
      <w:bCs/>
      <w:color w:val="365F91" w:themeColor="accent1" w:themeShade="BF"/>
      <w:sz w:val="28"/>
      <w:szCs w:val="28"/>
      <w:lang w:val="en-GB"/>
    </w:rPr>
  </w:style>
  <w:style w:type="character" w:styleId="Hyperlink">
    <w:name w:val="Hyperlink"/>
    <w:uiPriority w:val="99"/>
    <w:unhideWhenUsed/>
    <w:rsid w:val="003D71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486635">
      <w:bodyDiv w:val="1"/>
      <w:marLeft w:val="0"/>
      <w:marRight w:val="0"/>
      <w:marTop w:val="0"/>
      <w:marBottom w:val="0"/>
      <w:divBdr>
        <w:top w:val="none" w:sz="0" w:space="0" w:color="auto"/>
        <w:left w:val="none" w:sz="0" w:space="0" w:color="auto"/>
        <w:bottom w:val="none" w:sz="0" w:space="0" w:color="auto"/>
        <w:right w:val="none" w:sz="0" w:space="0" w:color="auto"/>
      </w:divBdr>
    </w:div>
    <w:div w:id="423233934">
      <w:bodyDiv w:val="1"/>
      <w:marLeft w:val="0"/>
      <w:marRight w:val="0"/>
      <w:marTop w:val="0"/>
      <w:marBottom w:val="0"/>
      <w:divBdr>
        <w:top w:val="none" w:sz="0" w:space="0" w:color="auto"/>
        <w:left w:val="none" w:sz="0" w:space="0" w:color="auto"/>
        <w:bottom w:val="none" w:sz="0" w:space="0" w:color="auto"/>
        <w:right w:val="none" w:sz="0" w:space="0" w:color="auto"/>
      </w:divBdr>
    </w:div>
    <w:div w:id="603195938">
      <w:bodyDiv w:val="1"/>
      <w:marLeft w:val="0"/>
      <w:marRight w:val="0"/>
      <w:marTop w:val="0"/>
      <w:marBottom w:val="0"/>
      <w:divBdr>
        <w:top w:val="none" w:sz="0" w:space="0" w:color="auto"/>
        <w:left w:val="none" w:sz="0" w:space="0" w:color="auto"/>
        <w:bottom w:val="none" w:sz="0" w:space="0" w:color="auto"/>
        <w:right w:val="none" w:sz="0" w:space="0" w:color="auto"/>
      </w:divBdr>
    </w:div>
    <w:div w:id="611593512">
      <w:bodyDiv w:val="1"/>
      <w:marLeft w:val="0"/>
      <w:marRight w:val="0"/>
      <w:marTop w:val="0"/>
      <w:marBottom w:val="0"/>
      <w:divBdr>
        <w:top w:val="none" w:sz="0" w:space="0" w:color="auto"/>
        <w:left w:val="none" w:sz="0" w:space="0" w:color="auto"/>
        <w:bottom w:val="none" w:sz="0" w:space="0" w:color="auto"/>
        <w:right w:val="none" w:sz="0" w:space="0" w:color="auto"/>
      </w:divBdr>
      <w:divsChild>
        <w:div w:id="2005039552">
          <w:marLeft w:val="0"/>
          <w:marRight w:val="0"/>
          <w:marTop w:val="0"/>
          <w:marBottom w:val="0"/>
          <w:divBdr>
            <w:top w:val="single" w:sz="6" w:space="0" w:color="009966"/>
            <w:left w:val="none" w:sz="0" w:space="0" w:color="auto"/>
            <w:bottom w:val="single" w:sz="6" w:space="0" w:color="009966"/>
            <w:right w:val="none" w:sz="0" w:space="0" w:color="auto"/>
          </w:divBdr>
        </w:div>
        <w:div w:id="166795503">
          <w:marLeft w:val="0"/>
          <w:marRight w:val="0"/>
          <w:marTop w:val="0"/>
          <w:marBottom w:val="0"/>
          <w:divBdr>
            <w:top w:val="single" w:sz="6" w:space="0" w:color="009966"/>
            <w:left w:val="none" w:sz="0" w:space="0" w:color="auto"/>
            <w:bottom w:val="single" w:sz="6" w:space="0" w:color="009966"/>
            <w:right w:val="none" w:sz="0" w:space="0" w:color="auto"/>
          </w:divBdr>
        </w:div>
        <w:div w:id="1179782099">
          <w:marLeft w:val="0"/>
          <w:marRight w:val="0"/>
          <w:marTop w:val="0"/>
          <w:marBottom w:val="0"/>
          <w:divBdr>
            <w:top w:val="single" w:sz="6" w:space="0" w:color="009966"/>
            <w:left w:val="none" w:sz="0" w:space="0" w:color="auto"/>
            <w:bottom w:val="single" w:sz="6" w:space="0" w:color="009966"/>
            <w:right w:val="none" w:sz="0" w:space="0" w:color="auto"/>
          </w:divBdr>
        </w:div>
        <w:div w:id="676351181">
          <w:marLeft w:val="0"/>
          <w:marRight w:val="0"/>
          <w:marTop w:val="0"/>
          <w:marBottom w:val="0"/>
          <w:divBdr>
            <w:top w:val="single" w:sz="6" w:space="0" w:color="009966"/>
            <w:left w:val="none" w:sz="0" w:space="0" w:color="auto"/>
            <w:bottom w:val="single" w:sz="6" w:space="0" w:color="009966"/>
            <w:right w:val="none" w:sz="0" w:space="0" w:color="auto"/>
          </w:divBdr>
        </w:div>
        <w:div w:id="1220359830">
          <w:marLeft w:val="0"/>
          <w:marRight w:val="0"/>
          <w:marTop w:val="0"/>
          <w:marBottom w:val="0"/>
          <w:divBdr>
            <w:top w:val="single" w:sz="6" w:space="0" w:color="009966"/>
            <w:left w:val="none" w:sz="0" w:space="0" w:color="auto"/>
            <w:bottom w:val="single" w:sz="6" w:space="0" w:color="009966"/>
            <w:right w:val="none" w:sz="0" w:space="0" w:color="auto"/>
          </w:divBdr>
        </w:div>
      </w:divsChild>
    </w:div>
    <w:div w:id="869220630">
      <w:bodyDiv w:val="1"/>
      <w:marLeft w:val="0"/>
      <w:marRight w:val="0"/>
      <w:marTop w:val="0"/>
      <w:marBottom w:val="0"/>
      <w:divBdr>
        <w:top w:val="none" w:sz="0" w:space="0" w:color="auto"/>
        <w:left w:val="none" w:sz="0" w:space="0" w:color="auto"/>
        <w:bottom w:val="none" w:sz="0" w:space="0" w:color="auto"/>
        <w:right w:val="none" w:sz="0" w:space="0" w:color="auto"/>
      </w:divBdr>
      <w:divsChild>
        <w:div w:id="552927991">
          <w:marLeft w:val="0"/>
          <w:marRight w:val="0"/>
          <w:marTop w:val="0"/>
          <w:marBottom w:val="0"/>
          <w:divBdr>
            <w:top w:val="single" w:sz="6" w:space="0" w:color="009966"/>
            <w:left w:val="none" w:sz="0" w:space="0" w:color="auto"/>
            <w:bottom w:val="single" w:sz="6" w:space="0" w:color="009966"/>
            <w:right w:val="none" w:sz="0" w:space="0" w:color="auto"/>
          </w:divBdr>
        </w:div>
        <w:div w:id="1037242076">
          <w:marLeft w:val="0"/>
          <w:marRight w:val="0"/>
          <w:marTop w:val="0"/>
          <w:marBottom w:val="0"/>
          <w:divBdr>
            <w:top w:val="single" w:sz="6" w:space="0" w:color="009966"/>
            <w:left w:val="none" w:sz="0" w:space="0" w:color="auto"/>
            <w:bottom w:val="single" w:sz="6" w:space="0" w:color="009966"/>
            <w:right w:val="none" w:sz="0" w:space="0" w:color="auto"/>
          </w:divBdr>
        </w:div>
        <w:div w:id="1088305506">
          <w:marLeft w:val="0"/>
          <w:marRight w:val="0"/>
          <w:marTop w:val="0"/>
          <w:marBottom w:val="0"/>
          <w:divBdr>
            <w:top w:val="single" w:sz="6" w:space="0" w:color="009966"/>
            <w:left w:val="none" w:sz="0" w:space="0" w:color="auto"/>
            <w:bottom w:val="single" w:sz="6" w:space="0" w:color="009966"/>
            <w:right w:val="none" w:sz="0" w:space="0" w:color="auto"/>
          </w:divBdr>
        </w:div>
        <w:div w:id="1582256177">
          <w:marLeft w:val="0"/>
          <w:marRight w:val="0"/>
          <w:marTop w:val="0"/>
          <w:marBottom w:val="0"/>
          <w:divBdr>
            <w:top w:val="single" w:sz="6" w:space="0" w:color="009966"/>
            <w:left w:val="none" w:sz="0" w:space="0" w:color="auto"/>
            <w:bottom w:val="single" w:sz="6" w:space="0" w:color="009966"/>
            <w:right w:val="none" w:sz="0" w:space="0" w:color="auto"/>
          </w:divBdr>
        </w:div>
        <w:div w:id="1659462395">
          <w:marLeft w:val="0"/>
          <w:marRight w:val="0"/>
          <w:marTop w:val="0"/>
          <w:marBottom w:val="0"/>
          <w:divBdr>
            <w:top w:val="single" w:sz="6" w:space="0" w:color="009966"/>
            <w:left w:val="none" w:sz="0" w:space="0" w:color="auto"/>
            <w:bottom w:val="single" w:sz="6" w:space="0" w:color="009966"/>
            <w:right w:val="none" w:sz="0" w:space="0" w:color="auto"/>
          </w:divBdr>
        </w:div>
      </w:divsChild>
    </w:div>
    <w:div w:id="909770903">
      <w:bodyDiv w:val="1"/>
      <w:marLeft w:val="0"/>
      <w:marRight w:val="0"/>
      <w:marTop w:val="0"/>
      <w:marBottom w:val="0"/>
      <w:divBdr>
        <w:top w:val="none" w:sz="0" w:space="0" w:color="auto"/>
        <w:left w:val="none" w:sz="0" w:space="0" w:color="auto"/>
        <w:bottom w:val="none" w:sz="0" w:space="0" w:color="auto"/>
        <w:right w:val="none" w:sz="0" w:space="0" w:color="auto"/>
      </w:divBdr>
    </w:div>
    <w:div w:id="916521346">
      <w:bodyDiv w:val="1"/>
      <w:marLeft w:val="0"/>
      <w:marRight w:val="0"/>
      <w:marTop w:val="0"/>
      <w:marBottom w:val="0"/>
      <w:divBdr>
        <w:top w:val="none" w:sz="0" w:space="0" w:color="auto"/>
        <w:left w:val="none" w:sz="0" w:space="0" w:color="auto"/>
        <w:bottom w:val="none" w:sz="0" w:space="0" w:color="auto"/>
        <w:right w:val="none" w:sz="0" w:space="0" w:color="auto"/>
      </w:divBdr>
    </w:div>
    <w:div w:id="1358312285">
      <w:bodyDiv w:val="1"/>
      <w:marLeft w:val="0"/>
      <w:marRight w:val="0"/>
      <w:marTop w:val="0"/>
      <w:marBottom w:val="0"/>
      <w:divBdr>
        <w:top w:val="none" w:sz="0" w:space="0" w:color="auto"/>
        <w:left w:val="none" w:sz="0" w:space="0" w:color="auto"/>
        <w:bottom w:val="none" w:sz="0" w:space="0" w:color="auto"/>
        <w:right w:val="none" w:sz="0" w:space="0" w:color="auto"/>
      </w:divBdr>
      <w:divsChild>
        <w:div w:id="192034257">
          <w:marLeft w:val="0"/>
          <w:marRight w:val="0"/>
          <w:marTop w:val="0"/>
          <w:marBottom w:val="0"/>
          <w:divBdr>
            <w:top w:val="single" w:sz="6" w:space="0" w:color="009966"/>
            <w:left w:val="none" w:sz="0" w:space="0" w:color="auto"/>
            <w:bottom w:val="single" w:sz="6" w:space="0" w:color="009966"/>
            <w:right w:val="none" w:sz="0" w:space="0" w:color="auto"/>
          </w:divBdr>
        </w:div>
        <w:div w:id="2147161749">
          <w:marLeft w:val="0"/>
          <w:marRight w:val="0"/>
          <w:marTop w:val="0"/>
          <w:marBottom w:val="0"/>
          <w:divBdr>
            <w:top w:val="single" w:sz="6" w:space="0" w:color="009966"/>
            <w:left w:val="none" w:sz="0" w:space="0" w:color="auto"/>
            <w:bottom w:val="single" w:sz="6" w:space="0" w:color="009966"/>
            <w:right w:val="none" w:sz="0" w:space="0" w:color="auto"/>
          </w:divBdr>
        </w:div>
      </w:divsChild>
    </w:div>
    <w:div w:id="1404449579">
      <w:bodyDiv w:val="1"/>
      <w:marLeft w:val="0"/>
      <w:marRight w:val="0"/>
      <w:marTop w:val="0"/>
      <w:marBottom w:val="0"/>
      <w:divBdr>
        <w:top w:val="none" w:sz="0" w:space="0" w:color="auto"/>
        <w:left w:val="none" w:sz="0" w:space="0" w:color="auto"/>
        <w:bottom w:val="none" w:sz="0" w:space="0" w:color="auto"/>
        <w:right w:val="none" w:sz="0" w:space="0" w:color="auto"/>
      </w:divBdr>
    </w:div>
    <w:div w:id="2008826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ensionpractitioner.com/latest-property-auc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ensionpractition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tradingeconomics.com/charts/united-kingdom-stock-market.png?s=ukx&amp;d1=20110101&amp;d2=20131231&amp;type=lin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tradingeconomics.com/charts/united-kingdom-inflation-cpi.png?s=ukrpcjy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D0FED-7EAD-453B-839E-8B01ECCB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dc:description/>
  <cp:lastModifiedBy>Steffi</cp:lastModifiedBy>
  <cp:revision>2</cp:revision>
  <cp:lastPrinted>2013-12-23T11:09:00Z</cp:lastPrinted>
  <dcterms:created xsi:type="dcterms:W3CDTF">2013-12-23T11:12:00Z</dcterms:created>
  <dcterms:modified xsi:type="dcterms:W3CDTF">2013-12-23T11:12:00Z</dcterms:modified>
</cp:coreProperties>
</file>