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r w:rsidR="00C27F63">
        <w:rPr>
          <w:rFonts w:ascii="Arial" w:eastAsia="Arial" w:hAnsi="Arial" w:cs="Arial"/>
        </w:rPr>
        <w:br/>
      </w:r>
    </w:p>
    <w:p w:rsidR="00C27F63" w:rsidRPr="00DF7E71" w:rsidRDefault="00C27F63" w:rsidP="00DF7E71">
      <w:pPr>
        <w:pStyle w:val="Standard"/>
        <w:spacing w:before="72"/>
        <w:ind w:right="127"/>
        <w:jc w:val="right"/>
        <w:rPr>
          <w:rFonts w:ascii="Arial" w:eastAsia="Arial" w:hAnsi="Arial" w:cs="Arial"/>
        </w:rPr>
      </w:pPr>
    </w:p>
    <w:p w:rsidR="00B60B52" w:rsidRDefault="00531E17" w:rsidP="00C27F63">
      <w:pPr>
        <w:pStyle w:val="Standard"/>
        <w:jc w:val="right"/>
        <w:rPr>
          <w:sz w:val="20"/>
          <w:szCs w:val="20"/>
        </w:rPr>
      </w:pPr>
      <w:r>
        <w:rPr>
          <w:rFonts w:ascii="Arial" w:eastAsia="Arial" w:hAnsi="Arial" w:cs="Arial"/>
          <w:b/>
          <w:bCs/>
          <w:color w:val="1FAFD6"/>
          <w:sz w:val="48"/>
          <w:szCs w:val="48"/>
        </w:rPr>
        <w:tab/>
      </w:r>
      <w:r w:rsidR="00C27F63" w:rsidRPr="00C27F63">
        <w:rPr>
          <w:rFonts w:ascii="Arial" w:eastAsia="Arial" w:hAnsi="Arial" w:cs="Arial"/>
          <w:b/>
          <w:bCs/>
          <w:color w:val="1FAFD6"/>
          <w:sz w:val="48"/>
          <w:szCs w:val="48"/>
        </w:rPr>
        <w:tab/>
        <w:t>Evergreen Pension Scheme</w:t>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531E17" w:rsidRDefault="00531E17">
      <w:pPr>
        <w:pStyle w:val="Standard"/>
        <w:rPr>
          <w:sz w:val="20"/>
          <w:szCs w:val="20"/>
        </w:rPr>
      </w:pPr>
    </w:p>
    <w:p w:rsidR="00531E17" w:rsidRDefault="00531E17">
      <w:pPr>
        <w:pStyle w:val="Standard"/>
        <w:rPr>
          <w:sz w:val="20"/>
          <w:szCs w:val="20"/>
        </w:rPr>
      </w:pPr>
    </w:p>
    <w:p w:rsidR="00531E17" w:rsidRDefault="00531E17">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531E17" w:rsidRDefault="00531E17">
      <w:pPr>
        <w:pStyle w:val="Standard"/>
        <w:rPr>
          <w:sz w:val="20"/>
          <w:szCs w:val="20"/>
        </w:rPr>
      </w:pPr>
    </w:p>
    <w:p w:rsidR="00531E17" w:rsidRDefault="00531E17">
      <w:pPr>
        <w:pStyle w:val="Standard"/>
        <w:rPr>
          <w:sz w:val="20"/>
          <w:szCs w:val="20"/>
        </w:rPr>
      </w:pPr>
    </w:p>
    <w:p w:rsidR="00531E17" w:rsidRDefault="00531E17">
      <w:pPr>
        <w:pStyle w:val="Standard"/>
        <w:rPr>
          <w:sz w:val="20"/>
          <w:szCs w:val="20"/>
        </w:rPr>
      </w:pPr>
    </w:p>
    <w:p w:rsidR="00531E17" w:rsidRDefault="00531E17">
      <w:pPr>
        <w:pStyle w:val="Standard"/>
        <w:rPr>
          <w:sz w:val="20"/>
          <w:szCs w:val="20"/>
        </w:rPr>
      </w:pPr>
    </w:p>
    <w:p w:rsidR="00531E17" w:rsidRDefault="00531E17">
      <w:pPr>
        <w:pStyle w:val="Standard"/>
        <w:rPr>
          <w:sz w:val="20"/>
          <w:szCs w:val="20"/>
        </w:rPr>
      </w:pPr>
    </w:p>
    <w:p w:rsidR="00531E17" w:rsidRDefault="00531E17">
      <w:pPr>
        <w:pStyle w:val="Standard"/>
        <w:rPr>
          <w:sz w:val="20"/>
          <w:szCs w:val="20"/>
        </w:rPr>
      </w:pPr>
    </w:p>
    <w:p w:rsidR="00531E17" w:rsidRDefault="00531E17">
      <w:pPr>
        <w:pStyle w:val="Standard"/>
        <w:rPr>
          <w:sz w:val="20"/>
          <w:szCs w:val="20"/>
        </w:rPr>
      </w:pPr>
    </w:p>
    <w:p w:rsidR="00531E17" w:rsidRDefault="00531E17">
      <w:pPr>
        <w:pStyle w:val="Standard"/>
        <w:rPr>
          <w:sz w:val="20"/>
          <w:szCs w:val="20"/>
        </w:rPr>
      </w:pPr>
    </w:p>
    <w:p w:rsidR="00531E17" w:rsidRDefault="00531E17">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B60B52" w:rsidP="003258FA">
      <w:pPr>
        <w:pStyle w:val="Heading1"/>
        <w:tabs>
          <w:tab w:val="left" w:pos="3836"/>
        </w:tabs>
        <w:ind w:left="360" w:firstLine="0"/>
      </w:pPr>
    </w:p>
    <w:p w:rsidR="006F2618" w:rsidRPr="006F2618" w:rsidRDefault="000D448E" w:rsidP="006F2618">
      <w:pPr>
        <w:suppressAutoHyphens w:val="0"/>
        <w:overflowPunct/>
        <w:autoSpaceDE/>
        <w:autoSpaceDN/>
        <w:textAlignment w:val="auto"/>
        <w:rPr>
          <w:rFonts w:ascii="Arial" w:eastAsia="Arial" w:hAnsi="Arial" w:cs="Arial"/>
          <w:b/>
          <w:color w:val="000000"/>
          <w:sz w:val="22"/>
          <w:szCs w:val="22"/>
        </w:rPr>
      </w:pPr>
      <w:r w:rsidRPr="000D448E">
        <w:rPr>
          <w:rFonts w:ascii="Arial" w:eastAsia="Arial" w:hAnsi="Arial" w:cs="Arial"/>
          <w:b/>
          <w:color w:val="000000"/>
          <w:sz w:val="22"/>
          <w:szCs w:val="22"/>
        </w:rPr>
        <w:t>Details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49"/>
        <w:gridCol w:w="431"/>
        <w:gridCol w:w="3650"/>
      </w:tblGrid>
      <w:tr w:rsidR="00C27F63" w:rsidRPr="00C27F63" w:rsidTr="00C27F63">
        <w:trPr>
          <w:tblCellSpacing w:w="15" w:type="dxa"/>
        </w:trPr>
        <w:tc>
          <w:tcPr>
            <w:tcW w:w="2500" w:type="pct"/>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Pension Scheme Tax Reference</w:t>
            </w:r>
          </w:p>
        </w:tc>
        <w:tc>
          <w:tcPr>
            <w:tcW w:w="250" w:type="pct"/>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00758509RD</w:t>
            </w:r>
          </w:p>
        </w:tc>
      </w:tr>
      <w:tr w:rsidR="00C27F63" w:rsidRPr="00C27F63" w:rsidTr="00C27F63">
        <w:trPr>
          <w:tblCellSpacing w:w="15" w:type="dxa"/>
        </w:trPr>
        <w:tc>
          <w:tcPr>
            <w:tcW w:w="0" w:type="auto"/>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Pension Scheme Name</w:t>
            </w: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c>
        <w:tc>
          <w:tcPr>
            <w:tcW w:w="0" w:type="auto"/>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Evergreen Pension Scheme</w:t>
            </w:r>
          </w:p>
        </w:tc>
      </w:tr>
      <w:tr w:rsidR="00C27F63" w:rsidRPr="00C27F63" w:rsidTr="00C27F63">
        <w:trPr>
          <w:tblCellSpacing w:w="15" w:type="dxa"/>
        </w:trPr>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Is the scheme an Occupational scheme?</w:t>
            </w: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Yes</w:t>
            </w:r>
          </w:p>
        </w:tc>
      </w:tr>
      <w:tr w:rsidR="00C27F63" w:rsidRPr="00C27F63" w:rsidTr="00C27F63">
        <w:trPr>
          <w:tblCellSpacing w:w="15" w:type="dxa"/>
        </w:trPr>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Tax Year ended</w:t>
            </w: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05 Apr 2015</w:t>
            </w:r>
          </w:p>
        </w:tc>
      </w:tr>
      <w:tr w:rsidR="00C27F63" w:rsidRPr="00C27F63" w:rsidTr="00C27F63">
        <w:trPr>
          <w:tblCellSpacing w:w="15" w:type="dxa"/>
        </w:trPr>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Date submitted</w:t>
            </w: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19 Aug 2015</w:t>
            </w:r>
          </w:p>
        </w:tc>
      </w:tr>
      <w:tr w:rsidR="00C27F63" w:rsidRPr="00C27F63" w:rsidTr="00C27F63">
        <w:trPr>
          <w:tblCellSpacing w:w="15" w:type="dxa"/>
        </w:trPr>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Submitted by</w:t>
            </w: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Pension Practitioner .Com Limited</w:t>
            </w:r>
          </w:p>
        </w:tc>
      </w:tr>
      <w:tr w:rsidR="00C27F63" w:rsidRPr="00C27F63" w:rsidTr="00C27F63">
        <w:trPr>
          <w:tblCellSpacing w:w="15" w:type="dxa"/>
        </w:trPr>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Scheme Administrator</w:t>
            </w: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Green Gale Limited</w:t>
            </w:r>
          </w:p>
        </w:tc>
      </w:tr>
    </w:tbl>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9"/>
        <w:gridCol w:w="199"/>
        <w:gridCol w:w="1570"/>
      </w:tblGrid>
      <w:tr w:rsidR="00C27F63" w:rsidRPr="00C27F63" w:rsidTr="00C27F63">
        <w:trPr>
          <w:tblCellSpacing w:w="15" w:type="dxa"/>
        </w:trPr>
        <w:tc>
          <w:tcPr>
            <w:tcW w:w="2500" w:type="pct"/>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Amended Return</w:t>
            </w:r>
          </w:p>
        </w:tc>
        <w:tc>
          <w:tcPr>
            <w:tcW w:w="250" w:type="pct"/>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No</w:t>
            </w:r>
          </w:p>
        </w:tc>
      </w:tr>
    </w:tbl>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3"/>
        <w:gridCol w:w="319"/>
        <w:gridCol w:w="2644"/>
      </w:tblGrid>
      <w:tr w:rsidR="00C27F63" w:rsidRPr="00C27F63" w:rsidTr="00C27F63">
        <w:trPr>
          <w:tblCellSpacing w:w="15" w:type="dxa"/>
        </w:trPr>
        <w:tc>
          <w:tcPr>
            <w:tcW w:w="2500" w:type="pct"/>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Accounting Period</w:t>
            </w:r>
          </w:p>
        </w:tc>
        <w:tc>
          <w:tcPr>
            <w:tcW w:w="250" w:type="pct"/>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06 Apr 2014 - 05 Apr 2015</w:t>
            </w:r>
          </w:p>
        </w:tc>
      </w:tr>
    </w:tbl>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C27F63" w:rsidRPr="00C27F63" w:rsidTr="00C27F63">
        <w:trPr>
          <w:tblCellSpacing w:w="15" w:type="dxa"/>
        </w:trPr>
        <w:tc>
          <w:tcPr>
            <w:tcW w:w="2500" w:type="pct"/>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During this period, was the aggregate of payments to and from the scheme greater than £100,000?</w:t>
            </w:r>
          </w:p>
        </w:tc>
        <w:tc>
          <w:tcPr>
            <w:tcW w:w="250" w:type="pct"/>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c>
        <w:tc>
          <w:tcPr>
            <w:tcW w:w="0" w:type="auto"/>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No</w:t>
            </w:r>
          </w:p>
        </w:tc>
      </w:tr>
      <w:tr w:rsidR="00C27F63" w:rsidRPr="00C27F63" w:rsidTr="00C27F63">
        <w:trPr>
          <w:tblCellSpacing w:w="15" w:type="dxa"/>
        </w:trPr>
        <w:tc>
          <w:tcPr>
            <w:tcW w:w="2500" w:type="pct"/>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Specify the aggregate of payments to and from the scheme</w:t>
            </w: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£56471</w:t>
            </w:r>
          </w:p>
        </w:tc>
      </w:tr>
    </w:tbl>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C27F63" w:rsidRPr="00C27F63" w:rsidTr="00C27F63">
        <w:trPr>
          <w:tblCellSpacing w:w="15" w:type="dxa"/>
        </w:trPr>
        <w:tc>
          <w:tcPr>
            <w:tcW w:w="2500" w:type="pct"/>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At the end of this period, did the scheme have assets with a total value before pension liabilities greater than £400,000?</w:t>
            </w:r>
          </w:p>
        </w:tc>
        <w:tc>
          <w:tcPr>
            <w:tcW w:w="250" w:type="pct"/>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c>
        <w:tc>
          <w:tcPr>
            <w:tcW w:w="0" w:type="auto"/>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Yes</w:t>
            </w:r>
          </w:p>
        </w:tc>
      </w:tr>
    </w:tbl>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p w:rsidR="00C27F63" w:rsidRPr="00C27F63" w:rsidRDefault="00C27F63" w:rsidP="00C27F63">
      <w:pPr>
        <w:suppressAutoHyphens w:val="0"/>
        <w:overflowPunct/>
        <w:autoSpaceDE/>
        <w:autoSpaceDN/>
        <w:textAlignment w:val="auto"/>
        <w:rPr>
          <w:rFonts w:ascii="Arial" w:eastAsia="Arial" w:hAnsi="Arial" w:cs="Arial"/>
          <w:b/>
          <w:color w:val="000000"/>
          <w:sz w:val="22"/>
          <w:szCs w:val="22"/>
        </w:rPr>
      </w:pPr>
      <w:r w:rsidRPr="00C27F63">
        <w:rPr>
          <w:rFonts w:ascii="Arial" w:eastAsia="Arial" w:hAnsi="Arial" w:cs="Arial"/>
          <w:b/>
          <w:color w:val="000000"/>
          <w:sz w:val="22"/>
          <w:szCs w:val="22"/>
        </w:rPr>
        <w:t>Connected Parties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C27F63" w:rsidRPr="00C27F63" w:rsidTr="00C27F63">
        <w:trPr>
          <w:tblCellSpacing w:w="15" w:type="dxa"/>
        </w:trPr>
        <w:tc>
          <w:tcPr>
            <w:tcW w:w="2500" w:type="pct"/>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At any time during the period from 06/04/2014 to 05/04/2015 did the scheme either directly or indirectly own assets that it had acquired from either:</w:t>
            </w:r>
            <w:r w:rsidRPr="00C27F63">
              <w:rPr>
                <w:rFonts w:ascii="Arial" w:eastAsia="Arial" w:hAnsi="Arial" w:cs="Arial"/>
                <w:color w:val="000000"/>
                <w:sz w:val="22"/>
                <w:szCs w:val="22"/>
              </w:rPr>
              <w:br/>
              <w:t>a. a sponsoring employer or any person connected with that employer?</w:t>
            </w:r>
            <w:r w:rsidRPr="00C27F63">
              <w:rPr>
                <w:rFonts w:ascii="Arial" w:eastAsia="Arial" w:hAnsi="Arial" w:cs="Arial"/>
                <w:color w:val="000000"/>
                <w:sz w:val="22"/>
                <w:szCs w:val="22"/>
              </w:rPr>
              <w:br/>
            </w:r>
            <w:proofErr w:type="gramStart"/>
            <w:r w:rsidRPr="00C27F63">
              <w:rPr>
                <w:rFonts w:ascii="Arial" w:eastAsia="Arial" w:hAnsi="Arial" w:cs="Arial"/>
                <w:color w:val="000000"/>
                <w:sz w:val="22"/>
                <w:szCs w:val="22"/>
              </w:rPr>
              <w:t>or</w:t>
            </w:r>
            <w:proofErr w:type="gramEnd"/>
            <w:r w:rsidRPr="00C27F63">
              <w:rPr>
                <w:rFonts w:ascii="Arial" w:eastAsia="Arial" w:hAnsi="Arial" w:cs="Arial"/>
                <w:color w:val="000000"/>
                <w:sz w:val="22"/>
                <w:szCs w:val="22"/>
              </w:rPr>
              <w:br/>
              <w:t>b. a person who was a director of or a person connected to a director of a close company that was also a sponsoring employer?</w:t>
            </w:r>
            <w:r w:rsidRPr="00C27F63">
              <w:rPr>
                <w:rFonts w:ascii="Arial" w:eastAsia="Arial" w:hAnsi="Arial" w:cs="Arial"/>
                <w:color w:val="000000"/>
                <w:sz w:val="22"/>
                <w:szCs w:val="22"/>
              </w:rPr>
              <w:br/>
            </w:r>
            <w:proofErr w:type="gramStart"/>
            <w:r w:rsidRPr="00C27F63">
              <w:rPr>
                <w:rFonts w:ascii="Arial" w:eastAsia="Arial" w:hAnsi="Arial" w:cs="Arial"/>
                <w:color w:val="000000"/>
                <w:sz w:val="22"/>
                <w:szCs w:val="22"/>
              </w:rPr>
              <w:t>or</w:t>
            </w:r>
            <w:proofErr w:type="gramEnd"/>
            <w:r w:rsidRPr="00C27F63">
              <w:rPr>
                <w:rFonts w:ascii="Arial" w:eastAsia="Arial" w:hAnsi="Arial" w:cs="Arial"/>
                <w:color w:val="000000"/>
                <w:sz w:val="22"/>
                <w:szCs w:val="22"/>
              </w:rPr>
              <w:br/>
              <w:t>c. a person who was either a sole owner or partner or a person connected with the sole owner or partner of a business which was a sponsoring employer?</w:t>
            </w:r>
            <w:r w:rsidRPr="00C27F63">
              <w:rPr>
                <w:rFonts w:ascii="Arial" w:eastAsia="Arial" w:hAnsi="Arial" w:cs="Arial"/>
                <w:color w:val="000000"/>
                <w:sz w:val="22"/>
                <w:szCs w:val="22"/>
              </w:rPr>
              <w:br/>
            </w:r>
            <w:proofErr w:type="gramStart"/>
            <w:r w:rsidRPr="00C27F63">
              <w:rPr>
                <w:rFonts w:ascii="Arial" w:eastAsia="Arial" w:hAnsi="Arial" w:cs="Arial"/>
                <w:color w:val="000000"/>
                <w:sz w:val="22"/>
                <w:szCs w:val="22"/>
              </w:rPr>
              <w:t>or</w:t>
            </w:r>
            <w:proofErr w:type="gramEnd"/>
            <w:r w:rsidRPr="00C27F63">
              <w:rPr>
                <w:rFonts w:ascii="Arial" w:eastAsia="Arial" w:hAnsi="Arial" w:cs="Arial"/>
                <w:color w:val="000000"/>
                <w:sz w:val="22"/>
                <w:szCs w:val="22"/>
              </w:rPr>
              <w:br/>
              <w:t>d. a member or person connected with a member?</w:t>
            </w:r>
          </w:p>
        </w:tc>
        <w:tc>
          <w:tcPr>
            <w:tcW w:w="250" w:type="pct"/>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c>
        <w:tc>
          <w:tcPr>
            <w:tcW w:w="0" w:type="auto"/>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Yes</w:t>
            </w:r>
          </w:p>
        </w:tc>
      </w:tr>
    </w:tbl>
    <w:p w:rsidR="00C27F63" w:rsidRDefault="00C27F63" w:rsidP="00C27F63">
      <w:pPr>
        <w:suppressAutoHyphens w:val="0"/>
        <w:overflowPunct/>
        <w:autoSpaceDE/>
        <w:autoSpaceDN/>
        <w:textAlignment w:val="auto"/>
        <w:rPr>
          <w:rFonts w:ascii="Arial" w:eastAsia="Arial" w:hAnsi="Arial" w:cs="Arial"/>
          <w:color w:val="000000"/>
          <w:sz w:val="22"/>
          <w:szCs w:val="22"/>
        </w:rPr>
      </w:pPr>
    </w:p>
    <w:p w:rsidR="00C27F63" w:rsidRDefault="00C27F63" w:rsidP="00C27F63">
      <w:pPr>
        <w:suppressAutoHyphens w:val="0"/>
        <w:overflowPunct/>
        <w:autoSpaceDE/>
        <w:autoSpaceDN/>
        <w:textAlignment w:val="auto"/>
        <w:rPr>
          <w:rFonts w:ascii="Arial" w:eastAsia="Arial" w:hAnsi="Arial" w:cs="Arial"/>
          <w:color w:val="000000"/>
          <w:sz w:val="22"/>
          <w:szCs w:val="22"/>
        </w:rPr>
      </w:pPr>
    </w:p>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p w:rsidR="00C27F63" w:rsidRPr="00C27F63" w:rsidRDefault="00C27F63" w:rsidP="00C27F63">
      <w:pPr>
        <w:suppressAutoHyphens w:val="0"/>
        <w:overflowPunct/>
        <w:autoSpaceDE/>
        <w:autoSpaceDN/>
        <w:textAlignment w:val="auto"/>
        <w:rPr>
          <w:rFonts w:ascii="Arial" w:eastAsia="Arial" w:hAnsi="Arial" w:cs="Arial"/>
          <w:b/>
          <w:color w:val="000000"/>
          <w:sz w:val="22"/>
          <w:szCs w:val="22"/>
        </w:rPr>
      </w:pPr>
      <w:r w:rsidRPr="00C27F63">
        <w:rPr>
          <w:rFonts w:ascii="Arial" w:eastAsia="Arial" w:hAnsi="Arial" w:cs="Arial"/>
          <w:b/>
          <w:color w:val="000000"/>
          <w:sz w:val="22"/>
          <w:szCs w:val="22"/>
        </w:rPr>
        <w:lastRenderedPageBreak/>
        <w:t>Land or Interest in Land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C27F63" w:rsidRPr="00C27F63" w:rsidTr="00C27F63">
        <w:trPr>
          <w:tblCellSpacing w:w="15" w:type="dxa"/>
        </w:trPr>
        <w:tc>
          <w:tcPr>
            <w:tcW w:w="2500" w:type="pct"/>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Total cost or market value of any land or interest in land owned by the scheme at the end of the period</w:t>
            </w:r>
            <w:r w:rsidRPr="00C27F63">
              <w:rPr>
                <w:rFonts w:ascii="Arial" w:eastAsia="Arial" w:hAnsi="Arial" w:cs="Arial"/>
                <w:color w:val="000000"/>
                <w:sz w:val="22"/>
                <w:szCs w:val="22"/>
              </w:rPr>
              <w:br/>
              <w:t>Specify whether this amount is</w:t>
            </w:r>
          </w:p>
        </w:tc>
        <w:tc>
          <w:tcPr>
            <w:tcW w:w="250" w:type="pct"/>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£152000</w:t>
            </w:r>
            <w:r w:rsidRPr="00C27F63">
              <w:rPr>
                <w:rFonts w:ascii="Arial" w:eastAsia="Arial" w:hAnsi="Arial" w:cs="Arial"/>
                <w:color w:val="000000"/>
                <w:sz w:val="22"/>
                <w:szCs w:val="22"/>
              </w:rPr>
              <w:br/>
            </w:r>
            <w:r w:rsidRPr="00C27F63">
              <w:rPr>
                <w:rFonts w:ascii="Arial" w:eastAsia="Arial" w:hAnsi="Arial" w:cs="Arial"/>
                <w:color w:val="000000"/>
                <w:sz w:val="22"/>
                <w:szCs w:val="22"/>
              </w:rPr>
              <w:br/>
              <w:t>Cost</w:t>
            </w:r>
          </w:p>
        </w:tc>
      </w:tr>
      <w:tr w:rsidR="00C27F63" w:rsidRPr="00C27F63" w:rsidTr="00C27F63">
        <w:trPr>
          <w:tblCellSpacing w:w="15" w:type="dxa"/>
        </w:trPr>
        <w:tc>
          <w:tcPr>
            <w:tcW w:w="2500" w:type="pct"/>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Total cost of any land, or interest in land, or premium paid to acquire a leasehold interest in land</w:t>
            </w: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£0</w:t>
            </w:r>
          </w:p>
        </w:tc>
      </w:tr>
      <w:tr w:rsidR="00C27F63" w:rsidRPr="00C27F63" w:rsidTr="00C27F63">
        <w:trPr>
          <w:tblCellSpacing w:w="15" w:type="dxa"/>
        </w:trPr>
        <w:tc>
          <w:tcPr>
            <w:tcW w:w="2500" w:type="pct"/>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Total sale proceeds of any land sold, or interest in land sold, or premiums received on disposal of a leasehold interest in land</w:t>
            </w: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£0</w:t>
            </w:r>
          </w:p>
        </w:tc>
      </w:tr>
    </w:tbl>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C27F63" w:rsidRPr="00C27F63" w:rsidTr="00C27F63">
        <w:trPr>
          <w:tblCellSpacing w:w="15" w:type="dxa"/>
        </w:trPr>
        <w:tc>
          <w:tcPr>
            <w:tcW w:w="2500" w:type="pct"/>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Total amount of income received from land or interest in land</w:t>
            </w:r>
          </w:p>
        </w:tc>
        <w:tc>
          <w:tcPr>
            <w:tcW w:w="250" w:type="pct"/>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£0</w:t>
            </w:r>
          </w:p>
        </w:tc>
      </w:tr>
      <w:tr w:rsidR="00C27F63" w:rsidRPr="00C27F63" w:rsidTr="00C27F63">
        <w:trPr>
          <w:tblCellSpacing w:w="15" w:type="dxa"/>
        </w:trPr>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Was any part of the land or interest in land residential property as defined in Schedule 29A of Finance Act 2004?</w:t>
            </w: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No</w:t>
            </w:r>
          </w:p>
        </w:tc>
      </w:tr>
    </w:tbl>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p w:rsidR="00C27F63" w:rsidRPr="00C27F63" w:rsidRDefault="00C27F63" w:rsidP="00C27F63">
      <w:pPr>
        <w:suppressAutoHyphens w:val="0"/>
        <w:overflowPunct/>
        <w:autoSpaceDE/>
        <w:autoSpaceDN/>
        <w:textAlignment w:val="auto"/>
        <w:rPr>
          <w:rFonts w:ascii="Arial" w:eastAsia="Arial" w:hAnsi="Arial" w:cs="Arial"/>
          <w:b/>
          <w:color w:val="000000"/>
          <w:sz w:val="22"/>
          <w:szCs w:val="22"/>
        </w:rPr>
      </w:pPr>
      <w:r w:rsidRPr="00C27F63">
        <w:rPr>
          <w:rFonts w:ascii="Arial" w:eastAsia="Arial" w:hAnsi="Arial" w:cs="Arial"/>
          <w:b/>
          <w:color w:val="000000"/>
          <w:sz w:val="22"/>
          <w:szCs w:val="22"/>
        </w:rPr>
        <w:t>Cash and Bank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47"/>
        <w:gridCol w:w="480"/>
        <w:gridCol w:w="4097"/>
      </w:tblGrid>
      <w:tr w:rsidR="00C27F63" w:rsidRPr="00C27F63" w:rsidTr="00C27F63">
        <w:trPr>
          <w:tblCellSpacing w:w="15" w:type="dxa"/>
        </w:trPr>
        <w:tc>
          <w:tcPr>
            <w:tcW w:w="2500" w:type="pct"/>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Total amount of all cash and bank balances at the beginning of the period</w:t>
            </w:r>
          </w:p>
        </w:tc>
        <w:tc>
          <w:tcPr>
            <w:tcW w:w="250" w:type="pct"/>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£199280</w:t>
            </w:r>
          </w:p>
        </w:tc>
      </w:tr>
      <w:tr w:rsidR="00C27F63" w:rsidRPr="00C27F63" w:rsidTr="00C27F63">
        <w:trPr>
          <w:tblCellSpacing w:w="15" w:type="dxa"/>
        </w:trPr>
        <w:tc>
          <w:tcPr>
            <w:tcW w:w="2500" w:type="pct"/>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Total amount of all cash and bank balances at the end of the period</w:t>
            </w: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£154474</w:t>
            </w:r>
          </w:p>
        </w:tc>
      </w:tr>
      <w:tr w:rsidR="00C27F63" w:rsidRPr="00C27F63" w:rsidTr="00C27F63">
        <w:trPr>
          <w:tblCellSpacing w:w="15" w:type="dxa"/>
        </w:trPr>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Total amount of interest credited to these accounts</w:t>
            </w:r>
            <w:bookmarkStart w:id="1" w:name="_GoBack"/>
            <w:bookmarkEnd w:id="1"/>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C27F63" w:rsidRPr="00C27F63" w:rsidRDefault="00C27F63" w:rsidP="00C27F63">
            <w:pPr>
              <w:suppressAutoHyphens w:val="0"/>
              <w:overflowPunct/>
              <w:autoSpaceDE/>
              <w:autoSpaceDN/>
              <w:textAlignment w:val="auto"/>
              <w:rPr>
                <w:rFonts w:ascii="Arial" w:eastAsia="Arial" w:hAnsi="Arial" w:cs="Arial"/>
                <w:color w:val="000000"/>
                <w:sz w:val="22"/>
                <w:szCs w:val="22"/>
              </w:rPr>
            </w:pPr>
            <w:r w:rsidRPr="00C27F63">
              <w:rPr>
                <w:rFonts w:ascii="Arial" w:eastAsia="Arial" w:hAnsi="Arial" w:cs="Arial"/>
                <w:color w:val="000000"/>
                <w:sz w:val="22"/>
                <w:szCs w:val="22"/>
              </w:rPr>
              <w:t>£84</w:t>
            </w:r>
          </w:p>
        </w:tc>
      </w:tr>
    </w:tbl>
    <w:p w:rsidR="00B60B52" w:rsidRDefault="00531E17">
      <w:pPr>
        <w:pStyle w:val="Standard"/>
        <w:pageBreakBefore/>
        <w:spacing w:before="7"/>
      </w:pPr>
      <w:r w:rsidRPr="00531E17">
        <w:rPr>
          <w:rFonts w:ascii="Times New Roman" w:eastAsia="Times New Roman" w:hAnsi="Times New Roman" w:cs="Times New Roman"/>
          <w:color w:val="auto"/>
          <w:kern w:val="0"/>
          <w:sz w:val="24"/>
          <w:szCs w:val="24"/>
        </w:rPr>
        <w:lastRenderedPageBreak/>
        <w:br/>
      </w: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2014 built on the recovery signs is forecasted to grow above 2.5% annually through to 2017. Growth may still be hampered in the short term due to ongoing Eurozone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Picture 2"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Picture 3"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firstRow="1" w:lastRow="1" w:firstColumn="1" w:lastColumn="1" w:noHBand="0" w:noVBand="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C27F63"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C27F63"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B60B52" w:rsidRDefault="00B60B52">
      <w:pPr>
        <w:pStyle w:val="Standard"/>
      </w:pPr>
    </w:p>
    <w:p w:rsidR="00B60B52" w:rsidRDefault="00B60B52">
      <w:pPr>
        <w:pStyle w:val="Standard"/>
        <w:rPr>
          <w:sz w:val="20"/>
          <w:szCs w:val="20"/>
        </w:rPr>
      </w:pPr>
    </w:p>
    <w:p w:rsidR="00B60B52" w:rsidRDefault="00B60B52">
      <w:pPr>
        <w:pStyle w:val="Standard"/>
        <w:rPr>
          <w:sz w:val="20"/>
          <w:szCs w:val="20"/>
        </w:rPr>
      </w:pPr>
    </w:p>
    <w:p w:rsidR="006905CE" w:rsidRDefault="006905CE">
      <w:pPr>
        <w:pStyle w:val="Standard"/>
        <w:spacing w:before="72" w:line="276" w:lineRule="auto"/>
        <w:ind w:left="1382" w:right="1207"/>
        <w:jc w:val="both"/>
        <w:rPr>
          <w:rFonts w:ascii="Arial" w:eastAsia="Arial" w:hAnsi="Arial" w:cs="Arial"/>
          <w:b/>
        </w:rPr>
      </w:pPr>
    </w:p>
    <w:p w:rsidR="006905CE" w:rsidRDefault="006905CE">
      <w:pPr>
        <w:pStyle w:val="Standard"/>
        <w:spacing w:before="72" w:line="276" w:lineRule="auto"/>
        <w:ind w:left="1382" w:right="1207"/>
        <w:jc w:val="both"/>
        <w:rPr>
          <w:rFonts w:ascii="Arial" w:eastAsia="Arial" w:hAnsi="Arial" w:cs="Arial"/>
          <w:b/>
        </w:rPr>
      </w:pPr>
    </w:p>
    <w:p w:rsidR="005C38DE" w:rsidRDefault="004271FF" w:rsidP="005C38DE">
      <w:pPr>
        <w:pStyle w:val="Standard"/>
        <w:spacing w:before="72" w:line="276" w:lineRule="auto"/>
        <w:ind w:left="1382" w:right="335"/>
        <w:jc w:val="both"/>
        <w:rPr>
          <w:rFonts w:ascii="Arial" w:eastAsia="Arial" w:hAnsi="Arial" w:cs="Arial"/>
          <w:b/>
        </w:rPr>
      </w:pPr>
      <w:r w:rsidRPr="006905CE">
        <w:rPr>
          <w:rFonts w:ascii="Arial" w:eastAsia="Arial" w:hAnsi="Arial" w:cs="Arial"/>
          <w:b/>
        </w:rPr>
        <w:t xml:space="preserve">If </w:t>
      </w:r>
    </w:p>
    <w:p w:rsidR="005C38DE" w:rsidRDefault="005C38DE" w:rsidP="005C38DE">
      <w:pPr>
        <w:pStyle w:val="Standard"/>
        <w:spacing w:before="72" w:line="276" w:lineRule="auto"/>
        <w:ind w:left="1382"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Continuing the trend over the previous two years, the office sector, especially in Central London, saw strong performance. Sustained economic growth and an increase in business confidence is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lastRenderedPageBreak/>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2" w:name="h.pto5or2m0alz"/>
      <w:bookmarkEnd w:id="2"/>
      <w:r w:rsidRPr="003F05E0">
        <w:rPr>
          <w:rFonts w:ascii="Arial" w:eastAsia="Arial" w:hAnsi="Arial" w:cs="Arial"/>
          <w:b/>
          <w:bCs/>
          <w:color w:val="1FAFD6"/>
          <w:sz w:val="48"/>
          <w:szCs w:val="48"/>
        </w:rPr>
        <w:lastRenderedPageBreak/>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lastRenderedPageBreak/>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8F49C0">
      <w:headerReference w:type="even" r:id="rId20"/>
      <w:headerReference w:type="default" r:id="rId21"/>
      <w:footerReference w:type="even" r:id="rId22"/>
      <w:footerReference w:type="default" r:id="rId23"/>
      <w:headerReference w:type="first" r:id="rId24"/>
      <w:footerReference w:type="first" r:id="rId25"/>
      <w:pgSz w:w="11904" w:h="16840"/>
      <w:pgMar w:top="1560" w:right="1100" w:bottom="0" w:left="1680" w:header="720" w:footer="22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9C0" w:rsidRDefault="008F49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autoHyphenation/>
  <w:drawingGridHorizontalSpacing w:val="100"/>
  <w:displayHorizontalDrawingGridEvery w:val="2"/>
  <w:characterSpacingControl w:val="doNotCompress"/>
  <w:hdrShapeDefaults>
    <o:shapedefaults v:ext="edit" spidmax="11265">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52"/>
    <w:rsid w:val="000A4055"/>
    <w:rsid w:val="000D448E"/>
    <w:rsid w:val="000F6D3B"/>
    <w:rsid w:val="0015390C"/>
    <w:rsid w:val="001F7979"/>
    <w:rsid w:val="002235C4"/>
    <w:rsid w:val="0023091B"/>
    <w:rsid w:val="00246098"/>
    <w:rsid w:val="00263ADB"/>
    <w:rsid w:val="003103A7"/>
    <w:rsid w:val="003258FA"/>
    <w:rsid w:val="00325E65"/>
    <w:rsid w:val="003F05E0"/>
    <w:rsid w:val="004271FF"/>
    <w:rsid w:val="00491B70"/>
    <w:rsid w:val="00531E17"/>
    <w:rsid w:val="005C38DE"/>
    <w:rsid w:val="005C6D42"/>
    <w:rsid w:val="006905CE"/>
    <w:rsid w:val="006F2618"/>
    <w:rsid w:val="0071453A"/>
    <w:rsid w:val="007C0887"/>
    <w:rsid w:val="007E7D5D"/>
    <w:rsid w:val="00815261"/>
    <w:rsid w:val="00887246"/>
    <w:rsid w:val="008B7241"/>
    <w:rsid w:val="008F49C0"/>
    <w:rsid w:val="00A038CC"/>
    <w:rsid w:val="00A217AA"/>
    <w:rsid w:val="00B60B52"/>
    <w:rsid w:val="00B84DDD"/>
    <w:rsid w:val="00B93171"/>
    <w:rsid w:val="00B97A29"/>
    <w:rsid w:val="00C27F63"/>
    <w:rsid w:val="00C66D73"/>
    <w:rsid w:val="00D259FF"/>
    <w:rsid w:val="00D41A29"/>
    <w:rsid w:val="00DF7E71"/>
    <w:rsid w:val="00E81ADD"/>
    <w:rsid w:val="00E9593A"/>
    <w:rsid w:val="00EB0645"/>
    <w:rsid w:val="00EF39A2"/>
    <w:rsid w:val="00F35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colormenu v:ext="edit" fillcolor="none"/>
    </o:shapedefaults>
    <o:shapelayout v:ext="edit">
      <o:idmap v:ext="edit" data="1"/>
    </o:shapelayout>
  </w:shapeDefaults>
  <w:decimalSymbol w:val="."/>
  <w:listSeparator w:val=","/>
  <w15:docId w15:val="{481338F8-31CD-4F6B-88FE-328A6C21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484">
      <w:bodyDiv w:val="1"/>
      <w:marLeft w:val="0"/>
      <w:marRight w:val="0"/>
      <w:marTop w:val="0"/>
      <w:marBottom w:val="0"/>
      <w:divBdr>
        <w:top w:val="none" w:sz="0" w:space="0" w:color="auto"/>
        <w:left w:val="none" w:sz="0" w:space="0" w:color="auto"/>
        <w:bottom w:val="none" w:sz="0" w:space="0" w:color="auto"/>
        <w:right w:val="none" w:sz="0" w:space="0" w:color="auto"/>
      </w:divBdr>
      <w:divsChild>
        <w:div w:id="304360122">
          <w:marLeft w:val="0"/>
          <w:marRight w:val="0"/>
          <w:marTop w:val="0"/>
          <w:marBottom w:val="0"/>
          <w:divBdr>
            <w:top w:val="none" w:sz="0" w:space="0" w:color="auto"/>
            <w:left w:val="none" w:sz="0" w:space="0" w:color="auto"/>
            <w:bottom w:val="none" w:sz="0" w:space="0" w:color="auto"/>
            <w:right w:val="none" w:sz="0" w:space="0" w:color="auto"/>
          </w:divBdr>
        </w:div>
        <w:div w:id="1894585136">
          <w:marLeft w:val="0"/>
          <w:marRight w:val="0"/>
          <w:marTop w:val="0"/>
          <w:marBottom w:val="0"/>
          <w:divBdr>
            <w:top w:val="none" w:sz="0" w:space="0" w:color="auto"/>
            <w:left w:val="none" w:sz="0" w:space="0" w:color="auto"/>
            <w:bottom w:val="none" w:sz="0" w:space="0" w:color="auto"/>
            <w:right w:val="none" w:sz="0" w:space="0" w:color="auto"/>
          </w:divBdr>
        </w:div>
        <w:div w:id="566570454">
          <w:marLeft w:val="0"/>
          <w:marRight w:val="0"/>
          <w:marTop w:val="0"/>
          <w:marBottom w:val="0"/>
          <w:divBdr>
            <w:top w:val="none" w:sz="0" w:space="0" w:color="auto"/>
            <w:left w:val="none" w:sz="0" w:space="0" w:color="auto"/>
            <w:bottom w:val="none" w:sz="0" w:space="0" w:color="auto"/>
            <w:right w:val="none" w:sz="0" w:space="0" w:color="auto"/>
          </w:divBdr>
        </w:div>
        <w:div w:id="1157070244">
          <w:marLeft w:val="0"/>
          <w:marRight w:val="0"/>
          <w:marTop w:val="0"/>
          <w:marBottom w:val="0"/>
          <w:divBdr>
            <w:top w:val="none" w:sz="0" w:space="0" w:color="auto"/>
            <w:left w:val="none" w:sz="0" w:space="0" w:color="auto"/>
            <w:bottom w:val="none" w:sz="0" w:space="0" w:color="auto"/>
            <w:right w:val="none" w:sz="0" w:space="0" w:color="auto"/>
          </w:divBdr>
        </w:div>
        <w:div w:id="1167865294">
          <w:marLeft w:val="0"/>
          <w:marRight w:val="0"/>
          <w:marTop w:val="0"/>
          <w:marBottom w:val="0"/>
          <w:divBdr>
            <w:top w:val="none" w:sz="0" w:space="0" w:color="auto"/>
            <w:left w:val="none" w:sz="0" w:space="0" w:color="auto"/>
            <w:bottom w:val="none" w:sz="0" w:space="0" w:color="auto"/>
            <w:right w:val="none" w:sz="0" w:space="0" w:color="auto"/>
          </w:divBdr>
        </w:div>
        <w:div w:id="983007076">
          <w:marLeft w:val="0"/>
          <w:marRight w:val="0"/>
          <w:marTop w:val="0"/>
          <w:marBottom w:val="0"/>
          <w:divBdr>
            <w:top w:val="none" w:sz="0" w:space="0" w:color="auto"/>
            <w:left w:val="none" w:sz="0" w:space="0" w:color="auto"/>
            <w:bottom w:val="none" w:sz="0" w:space="0" w:color="auto"/>
            <w:right w:val="none" w:sz="0" w:space="0" w:color="auto"/>
          </w:divBdr>
        </w:div>
      </w:divsChild>
    </w:div>
    <w:div w:id="297150404">
      <w:bodyDiv w:val="1"/>
      <w:marLeft w:val="0"/>
      <w:marRight w:val="0"/>
      <w:marTop w:val="0"/>
      <w:marBottom w:val="0"/>
      <w:divBdr>
        <w:top w:val="none" w:sz="0" w:space="0" w:color="auto"/>
        <w:left w:val="none" w:sz="0" w:space="0" w:color="auto"/>
        <w:bottom w:val="none" w:sz="0" w:space="0" w:color="auto"/>
        <w:right w:val="none" w:sz="0" w:space="0" w:color="auto"/>
      </w:divBdr>
      <w:divsChild>
        <w:div w:id="2092965309">
          <w:marLeft w:val="0"/>
          <w:marRight w:val="0"/>
          <w:marTop w:val="0"/>
          <w:marBottom w:val="0"/>
          <w:divBdr>
            <w:top w:val="none" w:sz="0" w:space="0" w:color="auto"/>
            <w:left w:val="none" w:sz="0" w:space="0" w:color="auto"/>
            <w:bottom w:val="none" w:sz="0" w:space="0" w:color="auto"/>
            <w:right w:val="none" w:sz="0" w:space="0" w:color="auto"/>
          </w:divBdr>
        </w:div>
        <w:div w:id="998188294">
          <w:marLeft w:val="0"/>
          <w:marRight w:val="0"/>
          <w:marTop w:val="0"/>
          <w:marBottom w:val="0"/>
          <w:divBdr>
            <w:top w:val="none" w:sz="0" w:space="0" w:color="auto"/>
            <w:left w:val="none" w:sz="0" w:space="0" w:color="auto"/>
            <w:bottom w:val="none" w:sz="0" w:space="0" w:color="auto"/>
            <w:right w:val="none" w:sz="0" w:space="0" w:color="auto"/>
          </w:divBdr>
        </w:div>
        <w:div w:id="505557804">
          <w:marLeft w:val="0"/>
          <w:marRight w:val="0"/>
          <w:marTop w:val="0"/>
          <w:marBottom w:val="0"/>
          <w:divBdr>
            <w:top w:val="none" w:sz="0" w:space="0" w:color="auto"/>
            <w:left w:val="none" w:sz="0" w:space="0" w:color="auto"/>
            <w:bottom w:val="none" w:sz="0" w:space="0" w:color="auto"/>
            <w:right w:val="none" w:sz="0" w:space="0" w:color="auto"/>
          </w:divBdr>
        </w:div>
        <w:div w:id="2060783059">
          <w:marLeft w:val="0"/>
          <w:marRight w:val="0"/>
          <w:marTop w:val="0"/>
          <w:marBottom w:val="0"/>
          <w:divBdr>
            <w:top w:val="none" w:sz="0" w:space="0" w:color="auto"/>
            <w:left w:val="none" w:sz="0" w:space="0" w:color="auto"/>
            <w:bottom w:val="none" w:sz="0" w:space="0" w:color="auto"/>
            <w:right w:val="none" w:sz="0" w:space="0" w:color="auto"/>
          </w:divBdr>
        </w:div>
      </w:divsChild>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317339199">
      <w:bodyDiv w:val="1"/>
      <w:marLeft w:val="0"/>
      <w:marRight w:val="0"/>
      <w:marTop w:val="0"/>
      <w:marBottom w:val="0"/>
      <w:divBdr>
        <w:top w:val="none" w:sz="0" w:space="0" w:color="auto"/>
        <w:left w:val="none" w:sz="0" w:space="0" w:color="auto"/>
        <w:bottom w:val="none" w:sz="0" w:space="0" w:color="auto"/>
        <w:right w:val="none" w:sz="0" w:space="0" w:color="auto"/>
      </w:divBdr>
      <w:divsChild>
        <w:div w:id="2001691247">
          <w:marLeft w:val="0"/>
          <w:marRight w:val="0"/>
          <w:marTop w:val="0"/>
          <w:marBottom w:val="0"/>
          <w:divBdr>
            <w:top w:val="none" w:sz="0" w:space="0" w:color="auto"/>
            <w:left w:val="none" w:sz="0" w:space="0" w:color="auto"/>
            <w:bottom w:val="none" w:sz="0" w:space="0" w:color="auto"/>
            <w:right w:val="none" w:sz="0" w:space="0" w:color="auto"/>
          </w:divBdr>
        </w:div>
        <w:div w:id="1042285296">
          <w:marLeft w:val="0"/>
          <w:marRight w:val="0"/>
          <w:marTop w:val="0"/>
          <w:marBottom w:val="0"/>
          <w:divBdr>
            <w:top w:val="none" w:sz="0" w:space="0" w:color="auto"/>
            <w:left w:val="none" w:sz="0" w:space="0" w:color="auto"/>
            <w:bottom w:val="none" w:sz="0" w:space="0" w:color="auto"/>
            <w:right w:val="none" w:sz="0" w:space="0" w:color="auto"/>
          </w:divBdr>
        </w:div>
        <w:div w:id="1467351046">
          <w:marLeft w:val="0"/>
          <w:marRight w:val="0"/>
          <w:marTop w:val="0"/>
          <w:marBottom w:val="0"/>
          <w:divBdr>
            <w:top w:val="none" w:sz="0" w:space="0" w:color="auto"/>
            <w:left w:val="none" w:sz="0" w:space="0" w:color="auto"/>
            <w:bottom w:val="none" w:sz="0" w:space="0" w:color="auto"/>
            <w:right w:val="none" w:sz="0" w:space="0" w:color="auto"/>
          </w:divBdr>
        </w:div>
      </w:divsChild>
    </w:div>
    <w:div w:id="1332023058">
      <w:bodyDiv w:val="1"/>
      <w:marLeft w:val="0"/>
      <w:marRight w:val="0"/>
      <w:marTop w:val="0"/>
      <w:marBottom w:val="0"/>
      <w:divBdr>
        <w:top w:val="none" w:sz="0" w:space="0" w:color="auto"/>
        <w:left w:val="none" w:sz="0" w:space="0" w:color="auto"/>
        <w:bottom w:val="none" w:sz="0" w:space="0" w:color="auto"/>
        <w:right w:val="none" w:sz="0" w:space="0" w:color="auto"/>
      </w:divBdr>
      <w:divsChild>
        <w:div w:id="1888486813">
          <w:marLeft w:val="0"/>
          <w:marRight w:val="0"/>
          <w:marTop w:val="0"/>
          <w:marBottom w:val="0"/>
          <w:divBdr>
            <w:top w:val="none" w:sz="0" w:space="0" w:color="auto"/>
            <w:left w:val="none" w:sz="0" w:space="0" w:color="auto"/>
            <w:bottom w:val="none" w:sz="0" w:space="0" w:color="auto"/>
            <w:right w:val="none" w:sz="0" w:space="0" w:color="auto"/>
          </w:divBdr>
        </w:div>
        <w:div w:id="534466867">
          <w:marLeft w:val="0"/>
          <w:marRight w:val="0"/>
          <w:marTop w:val="0"/>
          <w:marBottom w:val="0"/>
          <w:divBdr>
            <w:top w:val="none" w:sz="0" w:space="0" w:color="auto"/>
            <w:left w:val="none" w:sz="0" w:space="0" w:color="auto"/>
            <w:bottom w:val="none" w:sz="0" w:space="0" w:color="auto"/>
            <w:right w:val="none" w:sz="0" w:space="0" w:color="auto"/>
          </w:divBdr>
        </w:div>
        <w:div w:id="1724593639">
          <w:marLeft w:val="0"/>
          <w:marRight w:val="0"/>
          <w:marTop w:val="0"/>
          <w:marBottom w:val="0"/>
          <w:divBdr>
            <w:top w:val="none" w:sz="0" w:space="0" w:color="auto"/>
            <w:left w:val="none" w:sz="0" w:space="0" w:color="auto"/>
            <w:bottom w:val="none" w:sz="0" w:space="0" w:color="auto"/>
            <w:right w:val="none" w:sz="0" w:space="0" w:color="auto"/>
          </w:divBdr>
        </w:div>
        <w:div w:id="2064788667">
          <w:marLeft w:val="0"/>
          <w:marRight w:val="0"/>
          <w:marTop w:val="0"/>
          <w:marBottom w:val="0"/>
          <w:divBdr>
            <w:top w:val="none" w:sz="0" w:space="0" w:color="auto"/>
            <w:left w:val="none" w:sz="0" w:space="0" w:color="auto"/>
            <w:bottom w:val="none" w:sz="0" w:space="0" w:color="auto"/>
            <w:right w:val="none" w:sz="0" w:space="0" w:color="auto"/>
          </w:divBdr>
        </w:div>
        <w:div w:id="722173481">
          <w:marLeft w:val="0"/>
          <w:marRight w:val="0"/>
          <w:marTop w:val="0"/>
          <w:marBottom w:val="0"/>
          <w:divBdr>
            <w:top w:val="none" w:sz="0" w:space="0" w:color="auto"/>
            <w:left w:val="none" w:sz="0" w:space="0" w:color="auto"/>
            <w:bottom w:val="none" w:sz="0" w:space="0" w:color="auto"/>
            <w:right w:val="none" w:sz="0" w:space="0" w:color="auto"/>
          </w:divBdr>
        </w:div>
        <w:div w:id="1244604712">
          <w:marLeft w:val="0"/>
          <w:marRight w:val="0"/>
          <w:marTop w:val="0"/>
          <w:marBottom w:val="0"/>
          <w:divBdr>
            <w:top w:val="none" w:sz="0" w:space="0" w:color="auto"/>
            <w:left w:val="none" w:sz="0" w:space="0" w:color="auto"/>
            <w:bottom w:val="none" w:sz="0" w:space="0" w:color="auto"/>
            <w:right w:val="none" w:sz="0" w:space="0" w:color="auto"/>
          </w:divBdr>
        </w:div>
      </w:divsChild>
    </w:div>
    <w:div w:id="1358503128">
      <w:bodyDiv w:val="1"/>
      <w:marLeft w:val="0"/>
      <w:marRight w:val="0"/>
      <w:marTop w:val="0"/>
      <w:marBottom w:val="0"/>
      <w:divBdr>
        <w:top w:val="none" w:sz="0" w:space="0" w:color="auto"/>
        <w:left w:val="none" w:sz="0" w:space="0" w:color="auto"/>
        <w:bottom w:val="none" w:sz="0" w:space="0" w:color="auto"/>
        <w:right w:val="none" w:sz="0" w:space="0" w:color="auto"/>
      </w:divBdr>
      <w:divsChild>
        <w:div w:id="2098017929">
          <w:marLeft w:val="0"/>
          <w:marRight w:val="0"/>
          <w:marTop w:val="0"/>
          <w:marBottom w:val="0"/>
          <w:divBdr>
            <w:top w:val="none" w:sz="0" w:space="0" w:color="auto"/>
            <w:left w:val="none" w:sz="0" w:space="0" w:color="auto"/>
            <w:bottom w:val="none" w:sz="0" w:space="0" w:color="auto"/>
            <w:right w:val="none" w:sz="0" w:space="0" w:color="auto"/>
          </w:divBdr>
        </w:div>
        <w:div w:id="2043049893">
          <w:marLeft w:val="0"/>
          <w:marRight w:val="0"/>
          <w:marTop w:val="0"/>
          <w:marBottom w:val="0"/>
          <w:divBdr>
            <w:top w:val="none" w:sz="0" w:space="0" w:color="auto"/>
            <w:left w:val="none" w:sz="0" w:space="0" w:color="auto"/>
            <w:bottom w:val="none" w:sz="0" w:space="0" w:color="auto"/>
            <w:right w:val="none" w:sz="0" w:space="0" w:color="auto"/>
          </w:divBdr>
        </w:div>
        <w:div w:id="1244989897">
          <w:marLeft w:val="0"/>
          <w:marRight w:val="0"/>
          <w:marTop w:val="0"/>
          <w:marBottom w:val="0"/>
          <w:divBdr>
            <w:top w:val="none" w:sz="0" w:space="0" w:color="auto"/>
            <w:left w:val="none" w:sz="0" w:space="0" w:color="auto"/>
            <w:bottom w:val="none" w:sz="0" w:space="0" w:color="auto"/>
            <w:right w:val="none" w:sz="0" w:space="0" w:color="auto"/>
          </w:divBdr>
        </w:div>
      </w:divsChild>
    </w:div>
    <w:div w:id="1393116777">
      <w:bodyDiv w:val="1"/>
      <w:marLeft w:val="0"/>
      <w:marRight w:val="0"/>
      <w:marTop w:val="0"/>
      <w:marBottom w:val="0"/>
      <w:divBdr>
        <w:top w:val="none" w:sz="0" w:space="0" w:color="auto"/>
        <w:left w:val="none" w:sz="0" w:space="0" w:color="auto"/>
        <w:bottom w:val="none" w:sz="0" w:space="0" w:color="auto"/>
        <w:right w:val="none" w:sz="0" w:space="0" w:color="auto"/>
      </w:divBdr>
      <w:divsChild>
        <w:div w:id="1968464413">
          <w:marLeft w:val="0"/>
          <w:marRight w:val="0"/>
          <w:marTop w:val="0"/>
          <w:marBottom w:val="0"/>
          <w:divBdr>
            <w:top w:val="none" w:sz="0" w:space="0" w:color="auto"/>
            <w:left w:val="none" w:sz="0" w:space="0" w:color="auto"/>
            <w:bottom w:val="none" w:sz="0" w:space="0" w:color="auto"/>
            <w:right w:val="none" w:sz="0" w:space="0" w:color="auto"/>
          </w:divBdr>
        </w:div>
        <w:div w:id="490876112">
          <w:marLeft w:val="0"/>
          <w:marRight w:val="0"/>
          <w:marTop w:val="0"/>
          <w:marBottom w:val="0"/>
          <w:divBdr>
            <w:top w:val="none" w:sz="0" w:space="0" w:color="auto"/>
            <w:left w:val="none" w:sz="0" w:space="0" w:color="auto"/>
            <w:bottom w:val="none" w:sz="0" w:space="0" w:color="auto"/>
            <w:right w:val="none" w:sz="0" w:space="0" w:color="auto"/>
          </w:divBdr>
        </w:div>
      </w:divsChild>
    </w:div>
    <w:div w:id="1606574834">
      <w:bodyDiv w:val="1"/>
      <w:marLeft w:val="0"/>
      <w:marRight w:val="0"/>
      <w:marTop w:val="0"/>
      <w:marBottom w:val="0"/>
      <w:divBdr>
        <w:top w:val="none" w:sz="0" w:space="0" w:color="auto"/>
        <w:left w:val="none" w:sz="0" w:space="0" w:color="auto"/>
        <w:bottom w:val="none" w:sz="0" w:space="0" w:color="auto"/>
        <w:right w:val="none" w:sz="0" w:space="0" w:color="auto"/>
      </w:divBdr>
      <w:divsChild>
        <w:div w:id="684599336">
          <w:marLeft w:val="0"/>
          <w:marRight w:val="0"/>
          <w:marTop w:val="0"/>
          <w:marBottom w:val="0"/>
          <w:divBdr>
            <w:top w:val="none" w:sz="0" w:space="0" w:color="auto"/>
            <w:left w:val="none" w:sz="0" w:space="0" w:color="auto"/>
            <w:bottom w:val="none" w:sz="0" w:space="0" w:color="auto"/>
            <w:right w:val="none" w:sz="0" w:space="0" w:color="auto"/>
          </w:divBdr>
        </w:div>
        <w:div w:id="296376861">
          <w:marLeft w:val="0"/>
          <w:marRight w:val="0"/>
          <w:marTop w:val="0"/>
          <w:marBottom w:val="0"/>
          <w:divBdr>
            <w:top w:val="none" w:sz="0" w:space="0" w:color="auto"/>
            <w:left w:val="none" w:sz="0" w:space="0" w:color="auto"/>
            <w:bottom w:val="none" w:sz="0" w:space="0" w:color="auto"/>
            <w:right w:val="none" w:sz="0" w:space="0" w:color="auto"/>
          </w:divBdr>
        </w:div>
        <w:div w:id="1539394638">
          <w:marLeft w:val="0"/>
          <w:marRight w:val="0"/>
          <w:marTop w:val="0"/>
          <w:marBottom w:val="0"/>
          <w:divBdr>
            <w:top w:val="none" w:sz="0" w:space="0" w:color="auto"/>
            <w:left w:val="none" w:sz="0" w:space="0" w:color="auto"/>
            <w:bottom w:val="none" w:sz="0" w:space="0" w:color="auto"/>
            <w:right w:val="none" w:sz="0" w:space="0" w:color="auto"/>
          </w:divBdr>
        </w:div>
      </w:divsChild>
    </w:div>
    <w:div w:id="1739328314">
      <w:bodyDiv w:val="1"/>
      <w:marLeft w:val="0"/>
      <w:marRight w:val="0"/>
      <w:marTop w:val="0"/>
      <w:marBottom w:val="0"/>
      <w:divBdr>
        <w:top w:val="none" w:sz="0" w:space="0" w:color="auto"/>
        <w:left w:val="none" w:sz="0" w:space="0" w:color="auto"/>
        <w:bottom w:val="none" w:sz="0" w:space="0" w:color="auto"/>
        <w:right w:val="none" w:sz="0" w:space="0" w:color="auto"/>
      </w:divBdr>
      <w:divsChild>
        <w:div w:id="1201673868">
          <w:marLeft w:val="0"/>
          <w:marRight w:val="0"/>
          <w:marTop w:val="0"/>
          <w:marBottom w:val="0"/>
          <w:divBdr>
            <w:top w:val="none" w:sz="0" w:space="0" w:color="auto"/>
            <w:left w:val="none" w:sz="0" w:space="0" w:color="auto"/>
            <w:bottom w:val="none" w:sz="0" w:space="0" w:color="auto"/>
            <w:right w:val="none" w:sz="0" w:space="0" w:color="auto"/>
          </w:divBdr>
        </w:div>
        <w:div w:id="1080711111">
          <w:marLeft w:val="0"/>
          <w:marRight w:val="0"/>
          <w:marTop w:val="0"/>
          <w:marBottom w:val="0"/>
          <w:divBdr>
            <w:top w:val="none" w:sz="0" w:space="0" w:color="auto"/>
            <w:left w:val="none" w:sz="0" w:space="0" w:color="auto"/>
            <w:bottom w:val="none" w:sz="0" w:space="0" w:color="auto"/>
            <w:right w:val="none" w:sz="0" w:space="0" w:color="auto"/>
          </w:divBdr>
        </w:div>
        <w:div w:id="1572810828">
          <w:marLeft w:val="0"/>
          <w:marRight w:val="0"/>
          <w:marTop w:val="0"/>
          <w:marBottom w:val="0"/>
          <w:divBdr>
            <w:top w:val="none" w:sz="0" w:space="0" w:color="auto"/>
            <w:left w:val="none" w:sz="0" w:space="0" w:color="auto"/>
            <w:bottom w:val="none" w:sz="0" w:space="0" w:color="auto"/>
            <w:right w:val="none" w:sz="0" w:space="0" w:color="auto"/>
          </w:divBdr>
        </w:div>
        <w:div w:id="4367555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C71A3-1100-4F95-BB8B-E264739B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Gina Laptop</cp:lastModifiedBy>
  <cp:revision>3</cp:revision>
  <cp:lastPrinted>2016-02-05T10:05:00Z</cp:lastPrinted>
  <dcterms:created xsi:type="dcterms:W3CDTF">2016-02-05T10:14:00Z</dcterms:created>
  <dcterms:modified xsi:type="dcterms:W3CDTF">2016-02-05T10:16:00Z</dcterms:modified>
</cp:coreProperties>
</file>