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24/05/2023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Elomar SSAS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S0000023754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April 2023. Please find below the requested information to assist with the registration of Elomar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two members. Please see below the members’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Wael El Omar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3 Hollythorpe Road, Sheffield, South Yorkshire, England, S8 9NE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SJ055325B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07982727505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Jean Theresa Angela El Omar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 Hollythorpe Road, Sheffield, South Yorkshire, England, S8 9NE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NA207232B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07384394636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two members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transfers totalling approximately £160,000 in the first year plus ongoing contributions from the sponsoring employer of the SSAS in the amount of £80,000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 being considered is commercial property purchase. This will generate a return to the scheme in rental payments.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240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at the end of the first year of its existence plus growth.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Omaraco Ltd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 Hollythorpe Road, Sheffield, South Yorkshire, England, S8 9NE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07982727505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3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475/XE28594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1766226536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Wael El Omar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 Hollythorpe Road, Sheffield, South Yorkshire, England, S8 9NE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SJ055325B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07982727505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Jean Theresa Angela El Omar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 Hollythorpe Road, Sheffield, South Yorkshire, England, S8 9NE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NA207232B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2442246349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-914389</wp:posOffset>
          </wp:positionH>
          <wp:positionV relativeFrom="paragraph">
            <wp:posOffset>-236846</wp:posOffset>
          </wp:positionV>
          <wp:extent cx="7792338" cy="1086501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-914389</wp:posOffset>
          </wp:positionH>
          <wp:positionV relativeFrom="paragraph">
            <wp:posOffset>-457190</wp:posOffset>
          </wp:positionV>
          <wp:extent cx="7810500" cy="1126514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YSZGg7UlLv+uNVNYHsDG/GPTew==">CgMxLjAyCWguMzBqMHpsbDIJaC4xZm9iOXRlMgloLjN6bnlzaDcyCGguZ2pkZ3hzOAByITE1R0Q3MTdXREFzRzRZR0JnMWlCdzZfOEpaZTAwN2JuWQ==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