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rPr>
      </w:pPr>
      <w:bookmarkStart w:colFirst="0" w:colLast="0" w:name="_heading=h.30j0zll" w:id="0"/>
      <w:bookmarkEnd w:id="0"/>
      <w:r w:rsidDel="00000000" w:rsidR="00000000" w:rsidRPr="00000000">
        <w:rPr>
          <w:rFonts w:ascii="Arial" w:cs="Arial" w:eastAsia="Arial" w:hAnsi="Arial"/>
          <w:rtl w:val="0"/>
        </w:rPr>
        <w:t xml:space="preserve">Online Services Agreement for the </w:t>
      </w:r>
      <w:r w:rsidDel="00000000" w:rsidR="00000000" w:rsidRPr="00000000">
        <w:rPr>
          <w:rFonts w:ascii="Arial" w:cs="Arial" w:eastAsia="Arial" w:hAnsi="Arial"/>
          <w:u w:val="none"/>
          <w:rtl w:val="0"/>
        </w:rPr>
        <w:t xml:space="preserve">Elite Heating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1"/>
      <w:bookmarkEnd w:id="1"/>
      <w:r w:rsidDel="00000000" w:rsidR="00000000" w:rsidRPr="00000000">
        <w:rPr>
          <w:rFonts w:ascii="Arial" w:cs="Arial" w:eastAsia="Arial" w:hAnsi="Arial"/>
          <w:b w:val="1"/>
          <w:u w:val="none"/>
          <w:rtl w:val="0"/>
        </w:rPr>
        <w:t xml:space="preserve">Jordan Lee Sandiford</w:t>
      </w:r>
      <w:r w:rsidDel="00000000" w:rsidR="00000000" w:rsidRPr="00000000">
        <w:rPr>
          <w:rFonts w:ascii="Arial" w:cs="Arial" w:eastAsia="Arial" w:hAnsi="Arial"/>
          <w:rtl w:val="0"/>
        </w:rPr>
        <w:t xml:space="preserve"> of 15 Winterbrook Lane, Wallingford, England, OX10 9EH and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Liam James Corrigan</w:t>
      </w:r>
      <w:r w:rsidDel="00000000" w:rsidR="00000000" w:rsidRPr="00000000">
        <w:rPr>
          <w:rFonts w:ascii="Arial" w:cs="Arial" w:eastAsia="Arial" w:hAnsi="Arial"/>
          <w:highlight w:val="white"/>
          <w:rtl w:val="0"/>
        </w:rPr>
        <w:t xml:space="preserve"> of </w:t>
      </w:r>
      <w:r w:rsidDel="00000000" w:rsidR="00000000" w:rsidRPr="00000000">
        <w:rPr>
          <w:rFonts w:ascii="Arial" w:cs="Arial" w:eastAsia="Arial" w:hAnsi="Arial"/>
          <w:u w:val="none"/>
          <w:rtl w:val="0"/>
        </w:rPr>
        <w:t xml:space="preserve">5 Joyce Way, Steventon, Abingdon, OX13 6GA both</w:t>
      </w:r>
      <w:r w:rsidDel="00000000" w:rsidR="00000000" w:rsidRPr="00000000">
        <w:rPr>
          <w:rFonts w:ascii="Arial" w:cs="Arial" w:eastAsia="Arial" w:hAnsi="Arial"/>
          <w:rtl w:val="0"/>
        </w:rPr>
        <w:t xml:space="preserve"> acting as Trustees of </w:t>
      </w:r>
      <w:r w:rsidDel="00000000" w:rsidR="00000000" w:rsidRPr="00000000">
        <w:rPr>
          <w:rFonts w:ascii="Arial" w:cs="Arial" w:eastAsia="Arial" w:hAnsi="Arial"/>
          <w:u w:val="none"/>
          <w:rtl w:val="0"/>
        </w:rPr>
        <w:t xml:space="preserve">Elite Heating SSAS</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rtl w:val="0"/>
        </w:rPr>
        <w:t xml:space="preserve">Elite Heating Engineers Ltd </w:t>
      </w:r>
      <w:r w:rsidDel="00000000" w:rsidR="00000000" w:rsidRPr="00000000">
        <w:rPr>
          <w:rFonts w:ascii="Arial" w:cs="Arial" w:eastAsia="Arial" w:hAnsi="Arial"/>
          <w:rtl w:val="0"/>
        </w:rPr>
        <w:t xml:space="preserve">(CRN: 15035425) whose registered office is situate at </w:t>
      </w:r>
      <w:r w:rsidDel="00000000" w:rsidR="00000000" w:rsidRPr="00000000">
        <w:rPr>
          <w:rFonts w:ascii="Arial" w:cs="Arial" w:eastAsia="Arial" w:hAnsi="Arial"/>
          <w:u w:val="none"/>
          <w:rtl w:val="0"/>
        </w:rPr>
        <w:t xml:space="preserve">15 Winterbrook Lane, Wallingford, England, OX10 9EH</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 C Client Services Ltd</w:t>
      </w:r>
      <w:r w:rsidDel="00000000" w:rsidR="00000000" w:rsidRPr="00000000">
        <w:rPr>
          <w:rFonts w:ascii="Arial" w:cs="Arial" w:eastAsia="Arial" w:hAnsi="Arial"/>
          <w:rtl w:val="0"/>
        </w:rPr>
        <w:t xml:space="preserve">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color w:val="ff0000"/>
        </w:rPr>
      </w:pPr>
      <w:r w:rsidDel="00000000" w:rsidR="00000000" w:rsidRPr="00000000">
        <w:rPr>
          <w:rFonts w:ascii="Arial" w:cs="Arial" w:eastAsia="Arial" w:hAnsi="Arial"/>
          <w:b w:val="1"/>
          <w:u w:val="none"/>
          <w:rtl w:val="0"/>
        </w:rPr>
        <w:t xml:space="preserve">Jordan Lee Sandiford</w: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bookmarkStart w:colFirst="0" w:colLast="0" w:name="_heading=h.1fob9te" w:id="3"/>
      <w:bookmarkEnd w:id="3"/>
      <w:r w:rsidDel="00000000" w:rsidR="00000000" w:rsidRPr="00000000">
        <w:rPr>
          <w:rFonts w:ascii="Arial" w:cs="Arial" w:eastAsia="Arial" w:hAnsi="Arial"/>
          <w:b w:val="1"/>
          <w:highlight w:val="white"/>
          <w:rtl w:val="0"/>
        </w:rPr>
        <w:t xml:space="preserve">Liam James Corrigan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color w:val="ff0000"/>
        </w:rPr>
      </w:pPr>
      <w:r w:rsidDel="00000000" w:rsidR="00000000" w:rsidRPr="00000000">
        <w:rPr>
          <w:rFonts w:ascii="Arial" w:cs="Arial" w:eastAsia="Arial" w:hAnsi="Arial"/>
          <w:b w:val="1"/>
          <w:u w:val="none"/>
          <w:rtl w:val="0"/>
        </w:rPr>
        <w:t xml:space="preserve">Jordan Lee Sandiford</w:t>
      </w: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8">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B">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4"/>
      <w:bookmarkEnd w:id="4"/>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A">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A">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5"/>
      <w:bookmarkEnd w:id="5"/>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6"/>
      <w:bookmarkEnd w:id="6"/>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4">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5">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7">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A">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B">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C">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7"/>
      <w:bookmarkEnd w:id="7"/>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8"/>
      <w:bookmarkEnd w:id="8"/>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9"/>
      <w:bookmarkEnd w:id="9"/>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10"/>
      <w:bookmarkEnd w:id="10"/>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7">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8">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9">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A">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B">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C">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11"/>
      <w:bookmarkEnd w:id="11"/>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BF">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C0">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1">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2">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8">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9">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A">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2"/>
      <w:bookmarkEnd w:id="12"/>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C">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D">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E">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6">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3"/>
      <w:bookmarkEnd w:id="13"/>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8">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4"/>
      <w:bookmarkEnd w:id="14"/>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A">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B">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D">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E">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DF">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0">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1">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5"/>
      <w:bookmarkEnd w:id="15"/>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6"/>
      <w:bookmarkEnd w:id="16"/>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7"/>
      <w:bookmarkEnd w:id="17"/>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8"/>
      <w:bookmarkEnd w:id="18"/>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9"/>
      <w:bookmarkEnd w:id="19"/>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C">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D">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E">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20"/>
      <w:bookmarkEnd w:id="20"/>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F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character" w:styleId="normaltextrun" w:customStyle="1">
    <w:name w:val="normaltextrun"/>
    <w:basedOn w:val="DefaultParagraphFont"/>
    <w:rsid w:val="00AC1EE3"/>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F7AQj+Wk/cuYXPk1Zdn4oic6Q==">CgMxLjAyCWguMzBqMHpsbDIIaC5namRneHMyDmguNWhua2hsY254c2RrMgloLjFmb2I5dGUyDmguYXp5Y3g0cmZpdno3Mg5oLjlrajhnejJmc3pocTIOaC4zcDJoaXl2bGNiNzAyDmgubGw3amp3ZzhiNnExMg5oLmtvOHZtN2JuOGQ4NDIOaC5jdWN5cjM0c2xlOWEyDmgubXdpMDFhaGF2MnlrMg5oLms5dDQxcjYzbHVucDIOaC40dWE2d2g3ZHRnYnIyDmgucWVyeG90dXRxZ2E0Mg5oLmZzOWl6bzV4ajlhODIOaC4xdXEyaGw3NXZxMTkyDmguOTduaG14aHV4MTNkMg5oLnEzcmNhejJ5bno4MTIOaC5qNXpncGkyaXdocHgyDmguZjRkc294eG9rb210Mg5oLjRwNTFqM25sb3JoNzgAciExcERQWHZxb3M4QVhNR0lVYVJEQ25XUmVWY0NQVmhzO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