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09/09/2024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Dawes SSAS Scheme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S0000038811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rtl w:val="0"/>
        </w:rPr>
        <w:t xml:space="preserve"> August 2024. Please find below the requested information to assist with the registration of Dawes SSAS Scheme.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Elizabeth Jane Dawes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76 Hallowes Lane, Dronfield, S18 1UA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JL318391D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07907721597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employer of the SSAS £50,000 -  £60,000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trustee intends to invest into regulated stocks and shares.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£60,000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PA Editorial Limited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The Haddon Suite, Unit 6, Sheepbridge Business Centre, Chesterfield, 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Derbyshire, United Kingdom, S41 9ED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07732499149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475/JB71459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260861112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7469522028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Elizabeth Jane Dawes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76 Hallowes Lane, Dronfield, S18 1UA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JL318391D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07907721597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bhPtjtiZ+VPkM+sfQyU2+fI3w==">CgMxLjAyCWguMzBqMHpsbDIJaC4zem55c2g3MghoLmdqZGd4czgAciExd2dFQWR2UTE1dmFuTUJaNmI4Um11VXJoY25HWjRDcEc=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