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BDDB" w14:textId="78D70022" w:rsidR="005F5BEC" w:rsidRDefault="009C4690">
      <w:pPr>
        <w:jc w:val="center"/>
      </w:pPr>
      <w:r>
        <w:rPr>
          <w:b/>
        </w:rPr>
        <w:t>David Wood</w:t>
      </w:r>
      <w:r w:rsidR="001767CE">
        <w:rPr>
          <w:b/>
        </w:rPr>
        <w:t xml:space="preserve"> Pension </w:t>
      </w:r>
      <w:r>
        <w:rPr>
          <w:b/>
        </w:rPr>
        <w:t>Scheme</w:t>
      </w:r>
    </w:p>
    <w:p w14:paraId="7FE7434F" w14:textId="77777777" w:rsidR="005F5BEC" w:rsidRDefault="005F5BEC"/>
    <w:p w14:paraId="660E3C36" w14:textId="3CE51498" w:rsidR="005F5BEC" w:rsidRDefault="001767CE">
      <w:r>
        <w:t xml:space="preserve">Minutes of a meeting of the trustees of the </w:t>
      </w:r>
      <w:r w:rsidR="009C4690">
        <w:rPr>
          <w:b/>
        </w:rPr>
        <w:t xml:space="preserve">David Wood Pension Scheme </w:t>
      </w:r>
      <w:r>
        <w:t xml:space="preserve">(the </w:t>
      </w:r>
      <w:r w:rsidR="009C4690">
        <w:t>“</w:t>
      </w:r>
      <w:r>
        <w:rPr>
          <w:b/>
        </w:rPr>
        <w:t>Scheme</w:t>
      </w:r>
      <w:r w:rsidR="009C4690">
        <w:rPr>
          <w:b/>
        </w:rPr>
        <w:t>”</w:t>
      </w:r>
      <w:r>
        <w:t xml:space="preserve">) held at </w:t>
      </w:r>
      <w:r w:rsidR="009C4690">
        <w:t>1 Calverley Road, Oulton, Leeds, LS26 8JD</w:t>
      </w:r>
      <w:r>
        <w:t xml:space="preserve"> on </w:t>
      </w:r>
      <w:r w:rsidR="0069072F">
        <w:t>7</w:t>
      </w:r>
      <w:r w:rsidR="0069072F" w:rsidRPr="0069072F">
        <w:rPr>
          <w:vertAlign w:val="superscript"/>
        </w:rPr>
        <w:t>th</w:t>
      </w:r>
      <w:r w:rsidR="0069072F">
        <w:t xml:space="preserve"> November 2019.</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69128102" w14:textId="70AD4F61" w:rsidR="005F5BEC" w:rsidRDefault="009C4690">
            <w:pPr>
              <w:pBdr>
                <w:top w:val="nil"/>
                <w:left w:val="nil"/>
                <w:bottom w:val="nil"/>
                <w:right w:val="nil"/>
                <w:between w:val="nil"/>
              </w:pBdr>
              <w:spacing w:after="240" w:line="312" w:lineRule="auto"/>
            </w:pPr>
            <w:r>
              <w:t>David Anthony Wood</w:t>
            </w:r>
          </w:p>
          <w:p w14:paraId="05EC0F2F" w14:textId="019680D6" w:rsidR="005F5BEC" w:rsidRDefault="0069072F">
            <w:pPr>
              <w:spacing w:after="240"/>
            </w:pPr>
            <w:r>
              <w:t>Karen</w:t>
            </w:r>
            <w:r w:rsidR="009C4690">
              <w:t xml:space="preserve"> Wood</w:t>
            </w:r>
            <w:r w:rsidR="001767CE">
              <w:t xml:space="preserve"> </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726FFC6A"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69072F">
        <w:rPr>
          <w:color w:val="000000"/>
        </w:rPr>
        <w:t>935</w:t>
      </w:r>
      <w:r>
        <w:rPr>
          <w:color w:val="000000"/>
        </w:rPr>
        <w:t xml:space="preserve">,000 (the </w:t>
      </w:r>
      <w:r>
        <w:rPr>
          <w:b/>
          <w:color w:val="000000"/>
        </w:rPr>
        <w:t>Loan</w:t>
      </w:r>
      <w:r>
        <w:rPr>
          <w:color w:val="000000"/>
        </w:rPr>
        <w:t xml:space="preserve">) to </w:t>
      </w:r>
      <w:r w:rsidR="009C4690">
        <w:t>David Wood Baking</w:t>
      </w:r>
      <w:r>
        <w:t xml:space="preserve"> Limited</w:t>
      </w:r>
      <w:r>
        <w:rPr>
          <w:color w:val="000000"/>
        </w:rPr>
        <w:t xml:space="preserve"> (company number </w:t>
      </w:r>
      <w:r w:rsidR="009C4690">
        <w:rPr>
          <w:color w:val="000000"/>
        </w:rPr>
        <w:t>06541251</w:t>
      </w:r>
      <w:r>
        <w:rPr>
          <w:color w:val="000000"/>
        </w:rPr>
        <w:t xml:space="preserve">) (the </w:t>
      </w:r>
      <w:r>
        <w:rPr>
          <w:b/>
          <w:color w:val="000000"/>
        </w:rPr>
        <w:t>Borrower</w:t>
      </w:r>
      <w:r>
        <w:rPr>
          <w:color w:val="000000"/>
        </w:rPr>
        <w:t>).</w:t>
      </w:r>
    </w:p>
    <w:p w14:paraId="22B03A96" w14:textId="3A9DEC1A"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is the present Sponsoring Employer to the Scheme.</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37D2E96B" w:rsidR="005F5BEC" w:rsidRDefault="001767CE">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p>
    <w:p w14:paraId="4E17086A" w14:textId="4762025A"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debenture from </w:t>
      </w:r>
      <w:r w:rsidR="009C4690">
        <w:rPr>
          <w:color w:val="000000"/>
        </w:rPr>
        <w:t>Mr David Anthony Wood</w:t>
      </w:r>
      <w:r>
        <w:rPr>
          <w:color w:val="000000"/>
        </w:rPr>
        <w:t xml:space="preserve"> in favour of the </w:t>
      </w:r>
      <w:r w:rsidR="0069072F">
        <w:rPr>
          <w:color w:val="000000"/>
        </w:rPr>
        <w:t>T</w:t>
      </w:r>
      <w:bookmarkStart w:id="2" w:name="_GoBack"/>
      <w:bookmarkEnd w:id="2"/>
      <w:r>
        <w:rPr>
          <w:color w:val="000000"/>
        </w:rPr>
        <w:t>rustees of the</w:t>
      </w:r>
      <w:r w:rsidR="009C4690">
        <w:rPr>
          <w:color w:val="000000"/>
        </w:rPr>
        <w:t xml:space="preserve"> S</w:t>
      </w:r>
      <w:r>
        <w:rPr>
          <w:color w:val="000000"/>
        </w:rPr>
        <w:t xml:space="preserve">cheme as security for the loan agreement referred to in paragraph 1.2.1 over the </w:t>
      </w:r>
      <w:r w:rsidR="009C4690">
        <w:rPr>
          <w:color w:val="000000"/>
        </w:rPr>
        <w:t>shareholdings</w:t>
      </w:r>
      <w:r>
        <w:rPr>
          <w:color w:val="000000"/>
        </w:rPr>
        <w:t xml:space="preserve"> </w:t>
      </w:r>
      <w:r w:rsidR="009C4690">
        <w:rPr>
          <w:color w:val="000000"/>
        </w:rPr>
        <w:t>held by Mr Wood in David Wood Baking UK Limited;</w:t>
      </w:r>
      <w:r w:rsidR="00210023">
        <w:rPr>
          <w:color w:val="000000"/>
        </w:rPr>
        <w:t xml:space="preserve"> and</w:t>
      </w:r>
    </w:p>
    <w:p w14:paraId="3E7686DF" w14:textId="62B00669" w:rsidR="009C4690" w:rsidRDefault="00210023">
      <w:pPr>
        <w:numPr>
          <w:ilvl w:val="2"/>
          <w:numId w:val="1"/>
        </w:numPr>
        <w:pBdr>
          <w:top w:val="nil"/>
          <w:left w:val="nil"/>
          <w:bottom w:val="nil"/>
          <w:right w:val="nil"/>
          <w:between w:val="nil"/>
        </w:pBdr>
        <w:spacing w:after="240" w:line="312" w:lineRule="auto"/>
        <w:rPr>
          <w:color w:val="000000"/>
        </w:rPr>
      </w:pPr>
      <w:r>
        <w:rPr>
          <w:color w:val="000000"/>
        </w:rPr>
        <w:t>a valuation of the shareholdings held by Mr Wood.</w:t>
      </w:r>
    </w:p>
    <w:p w14:paraId="64AAB368" w14:textId="77777777" w:rsidR="005F5BEC" w:rsidRDefault="001767CE">
      <w:pPr>
        <w:pBdr>
          <w:top w:val="nil"/>
          <w:left w:val="nil"/>
          <w:bottom w:val="nil"/>
          <w:right w:val="nil"/>
          <w:between w:val="nil"/>
        </w:pBdr>
        <w:spacing w:after="240" w:line="312" w:lineRule="auto"/>
        <w:ind w:left="1984" w:hanging="1134"/>
        <w:rPr>
          <w:color w:val="000000"/>
        </w:rPr>
      </w:pPr>
      <w:r>
        <w:rPr>
          <w:color w:val="000000"/>
        </w:rPr>
        <w:t xml:space="preserve">(together, the </w:t>
      </w:r>
      <w:r>
        <w:rPr>
          <w:b/>
          <w:color w:val="000000"/>
        </w:rPr>
        <w:t>Documents</w:t>
      </w:r>
      <w:r>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24A2C4BE" w:rsidR="00210023" w:rsidRDefault="00210023">
      <w:pPr>
        <w:numPr>
          <w:ilvl w:val="1"/>
          <w:numId w:val="1"/>
        </w:numPr>
        <w:pBdr>
          <w:top w:val="nil"/>
          <w:left w:val="nil"/>
          <w:bottom w:val="nil"/>
          <w:right w:val="nil"/>
          <w:between w:val="nil"/>
        </w:pBdr>
        <w:spacing w:after="240" w:line="312" w:lineRule="auto"/>
        <w:rPr>
          <w:color w:val="000000"/>
        </w:rPr>
      </w:pPr>
      <w:r>
        <w:rPr>
          <w:color w:val="000000"/>
        </w:rPr>
        <w:t>The Trustees have noted the outstanding amount due to the Scheme from the Borrower through previous borrowings and have assured themselves that the addition of the Loan will not compromise HMRC lending rules.</w:t>
      </w:r>
    </w:p>
    <w:p w14:paraId="1362661F" w14:textId="1733954C" w:rsidR="001A1982" w:rsidRDefault="001A1982">
      <w:pPr>
        <w:numPr>
          <w:ilvl w:val="1"/>
          <w:numId w:val="1"/>
        </w:numPr>
        <w:pBdr>
          <w:top w:val="nil"/>
          <w:left w:val="nil"/>
          <w:bottom w:val="nil"/>
          <w:right w:val="nil"/>
          <w:between w:val="nil"/>
        </w:pBdr>
        <w:spacing w:after="240" w:line="312" w:lineRule="auto"/>
        <w:rPr>
          <w:color w:val="000000"/>
        </w:rPr>
      </w:pPr>
      <w:r>
        <w:rPr>
          <w:color w:val="000000"/>
        </w:rPr>
        <w:t>The Trustees agree to hold the new debenture pari passu with existing debentures issued by Mr Wood in favour of the Scheme, and have satisfied themselves that the value of the shareholdings is sufficient to provide security for the proposed Loan in addition to existing obligations to the Scheme.</w:t>
      </w:r>
    </w:p>
    <w:p w14:paraId="562DF218" w14:textId="407CBC85"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w:t>
      </w:r>
      <w:r>
        <w:rPr>
          <w:color w:val="000000"/>
        </w:rPr>
        <w:lastRenderedPageBreak/>
        <w:t xml:space="preserve">conferred by </w:t>
      </w:r>
      <w:r w:rsidR="00210023">
        <w:rPr>
          <w:color w:val="000000"/>
        </w:rPr>
        <w:t>5.5</w:t>
      </w:r>
      <w:r>
        <w:rPr>
          <w:color w:val="000000"/>
        </w:rPr>
        <w:t xml:space="preserve"> of the Trust Deed and Rules for the Scheme to approve the Documents and that the </w:t>
      </w:r>
      <w:r w:rsidR="00210023">
        <w:rPr>
          <w:color w:val="000000"/>
        </w:rPr>
        <w:t>T</w:t>
      </w:r>
      <w:r>
        <w:rPr>
          <w:color w:val="000000"/>
        </w:rPr>
        <w:t>rustees be authorised to signed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3399A130"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David Anthony Wood</w:t>
      </w:r>
      <w:r>
        <w:rPr>
          <w:color w:val="000000"/>
        </w:rPr>
        <w:tab/>
      </w:r>
      <w:r>
        <w:rPr>
          <w:color w:val="000000"/>
        </w:rPr>
        <w:tab/>
      </w:r>
      <w:r>
        <w:rPr>
          <w:color w:val="000000"/>
        </w:rPr>
        <w:tab/>
      </w:r>
      <w:r>
        <w:rPr>
          <w:color w:val="000000"/>
        </w:rPr>
        <w:tab/>
      </w:r>
      <w:r>
        <w:rPr>
          <w:color w:val="000000"/>
        </w:rPr>
        <w:tab/>
      </w:r>
      <w:r w:rsidR="0069072F">
        <w:rPr>
          <w:color w:val="000000"/>
        </w:rPr>
        <w:t>Karen</w:t>
      </w:r>
      <w:r>
        <w:rPr>
          <w:color w:val="000000"/>
        </w:rPr>
        <w:t xml:space="preserve"> Wood</w:t>
      </w:r>
    </w:p>
    <w:p w14:paraId="07627261" w14:textId="39B3CF74"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t>TRUSTEE</w:t>
      </w: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599B" w14:textId="77777777" w:rsidR="00777098" w:rsidRDefault="00777098">
      <w:r>
        <w:separator/>
      </w:r>
    </w:p>
  </w:endnote>
  <w:endnote w:type="continuationSeparator" w:id="0">
    <w:p w14:paraId="1119C345" w14:textId="77777777" w:rsidR="00777098" w:rsidRDefault="0077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D3CF" w14:textId="77777777" w:rsidR="005F5BEC" w:rsidRDefault="001767CE">
    <w:pPr>
      <w:tabs>
        <w:tab w:val="right" w:pos="9072"/>
      </w:tabs>
      <w:rPr>
        <w:sz w:val="12"/>
        <w:szCs w:val="12"/>
      </w:rPr>
    </w:pPr>
    <w:r>
      <w:rPr>
        <w:sz w:val="12"/>
        <w:szCs w:val="12"/>
      </w:rPr>
      <w:t>13854386.V1</w:t>
    </w:r>
  </w:p>
  <w:p w14:paraId="61968969" w14:textId="77777777" w:rsidR="005F5BEC" w:rsidRDefault="001767CE">
    <w:pPr>
      <w:tabs>
        <w:tab w:val="right" w:pos="9072"/>
      </w:tabs>
      <w:rPr>
        <w:sz w:val="16"/>
        <w:szCs w:val="16"/>
      </w:rPr>
    </w:pPr>
    <w:r>
      <w:rPr>
        <w:sz w:val="16"/>
        <w:szCs w:val="16"/>
      </w:rPr>
      <w:tab/>
    </w:r>
    <w:r>
      <w:rPr>
        <w:sz w:val="16"/>
        <w:szCs w:val="16"/>
      </w:rPr>
    </w:r>
    <w:r>
      <w:rPr>
        <w:sz w:val="16"/>
        <w:szCs w:val="16"/>
      </w:rPr>
      <w:instrText/>
    </w:r>
    <w:r>
      <w:rPr>
        <w:sz w:val="16"/>
        <w:szCs w:val="16"/>
      </w:rPr>
    </w:r>
    <w:r w:rsidR="009C4690">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A4EC" w14:textId="77777777" w:rsidR="00777098" w:rsidRDefault="00777098">
      <w:r>
        <w:separator/>
      </w:r>
    </w:p>
  </w:footnote>
  <w:footnote w:type="continuationSeparator" w:id="0">
    <w:p w14:paraId="5CA1E4BF" w14:textId="77777777" w:rsidR="00777098" w:rsidRDefault="0077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1767CE"/>
    <w:rsid w:val="001A1982"/>
    <w:rsid w:val="00210023"/>
    <w:rsid w:val="005F5BEC"/>
    <w:rsid w:val="0069072F"/>
    <w:rsid w:val="00777098"/>
    <w:rsid w:val="009C4690"/>
    <w:rsid w:val="00E0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4</cp:revision>
  <dcterms:created xsi:type="dcterms:W3CDTF">2019-03-25T15:28:00Z</dcterms:created>
  <dcterms:modified xsi:type="dcterms:W3CDTF">2019-11-07T12:35:00Z</dcterms:modified>
</cp:coreProperties>
</file>