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50" w:lineRule="auto"/>
        <w:ind w:left="851" w:firstLine="0"/>
        <w:jc w:val="center"/>
        <w:rPr>
          <w:color w:val="0b0c0c"/>
          <w:highlight w:val="whit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b w:val="1"/>
          <w:rtl w:val="0"/>
        </w:rPr>
        <w:t xml:space="preserve">Resolution </w:t>
      </w:r>
      <w:r w:rsidDel="00000000" w:rsidR="00000000" w:rsidRPr="00000000">
        <w:rPr>
          <w:color w:val="000000"/>
          <w:rtl w:val="0"/>
        </w:rPr>
        <w:t xml:space="preserve">the board of directors of </w:t>
      </w:r>
      <w:r w:rsidDel="00000000" w:rsidR="00000000" w:rsidRPr="00000000">
        <w:rPr>
          <w:b w:val="1"/>
          <w:color w:val="0b0c0c"/>
          <w:rtl w:val="0"/>
        </w:rPr>
        <w:t xml:space="preserve">DAVID WOOD BAKING LIMITED </w:t>
      </w:r>
      <w:r w:rsidDel="00000000" w:rsidR="00000000" w:rsidRPr="00000000">
        <w:rPr>
          <w:color w:val="000000"/>
          <w:rtl w:val="0"/>
        </w:rPr>
        <w:t xml:space="preserve">(the </w:t>
      </w:r>
      <w:r w:rsidDel="00000000" w:rsidR="00000000" w:rsidRPr="00000000">
        <w:rPr>
          <w:b w:val="1"/>
          <w:color w:val="000000"/>
          <w:rtl w:val="0"/>
        </w:rPr>
        <w:t xml:space="preserve">Company</w:t>
      </w:r>
      <w:r w:rsidDel="00000000" w:rsidR="00000000" w:rsidRPr="00000000">
        <w:rPr>
          <w:color w:val="000000"/>
          <w:rtl w:val="0"/>
        </w:rPr>
        <w:t xml:space="preserve">) held at </w:t>
      </w:r>
      <w:r w:rsidDel="00000000" w:rsidR="00000000" w:rsidRPr="00000000">
        <w:rPr>
          <w:color w:val="0b0c0c"/>
          <w:rtl w:val="0"/>
        </w:rPr>
        <w:t xml:space="preserve">1 Calverley Road, Oulton, Leeds, West Yorkshire, LS26 8JD on </w:t>
      </w:r>
      <w:r w:rsidDel="00000000" w:rsidR="00000000" w:rsidRPr="00000000">
        <w:rPr>
          <w:rtl w:val="0"/>
        </w:rPr>
      </w:r>
    </w:p>
    <w:tbl>
      <w:tblPr>
        <w:tblStyle w:val="Table1"/>
        <w:tblW w:w="9285.0" w:type="dxa"/>
        <w:jc w:val="left"/>
        <w:tblInd w:w="-108.0" w:type="dxa"/>
        <w:tblLayout w:type="fixed"/>
        <w:tblLook w:val="0000"/>
      </w:tblPr>
      <w:tblGrid>
        <w:gridCol w:w="3095"/>
        <w:gridCol w:w="3817"/>
        <w:gridCol w:w="2373"/>
        <w:tblGridChange w:id="0">
          <w:tblGrid>
            <w:gridCol w:w="3095"/>
            <w:gridCol w:w="3817"/>
            <w:gridCol w:w="2373"/>
          </w:tblGrid>
        </w:tblGridChange>
      </w:tblGrid>
      <w:tr>
        <w:trPr>
          <w:cantSplit w:val="0"/>
          <w:trHeight w:val="800" w:hRule="atLeast"/>
          <w:tblHeader w:val="0"/>
        </w:trPr>
        <w:tc>
          <w:tcPr>
            <w:tcBorders>
              <w:top w:color="000000" w:space="0" w:sz="4" w:val="single"/>
            </w:tcBorders>
          </w:tcPr>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120" w:line="312" w:lineRule="auto"/>
              <w:rPr>
                <w:color w:val="000000"/>
              </w:rPr>
            </w:pPr>
            <w:r w:rsidDel="00000000" w:rsidR="00000000" w:rsidRPr="00000000">
              <w:rPr>
                <w:b w:val="1"/>
                <w:color w:val="000000"/>
                <w:rtl w:val="0"/>
              </w:rPr>
              <w:t xml:space="preserve">PRESENT</w:t>
            </w:r>
            <w:r w:rsidDel="00000000" w:rsidR="00000000" w:rsidRPr="00000000">
              <w:rPr>
                <w:color w:val="000000"/>
                <w:rtl w:val="0"/>
              </w:rPr>
              <w:t xml:space="preserve">:</w:t>
            </w:r>
          </w:p>
        </w:tc>
        <w:tc>
          <w:tcPr>
            <w:tcBorders>
              <w:top w:color="000000" w:space="0" w:sz="4" w:val="single"/>
            </w:tcBorders>
          </w:tcPr>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spacing w:after="240" w:lineRule="auto"/>
              <w:rPr/>
            </w:pPr>
            <w:r w:rsidDel="00000000" w:rsidR="00000000" w:rsidRPr="00000000">
              <w:rPr>
                <w:rtl w:val="0"/>
              </w:rPr>
              <w:t xml:space="preserve">David Anthony Wood</w:t>
            </w:r>
          </w:p>
        </w:tc>
        <w:tc>
          <w:tcPr>
            <w:tcBorders>
              <w:top w:color="000000" w:space="0" w:sz="4" w:val="single"/>
            </w:tcBorders>
          </w:tcPr>
          <w:p w:rsidR="00000000" w:rsidDel="00000000" w:rsidP="00000000" w:rsidRDefault="00000000" w:rsidRPr="00000000" w14:paraId="00000006">
            <w:pPr>
              <w:spacing w:after="240" w:before="120" w:lineRule="auto"/>
              <w:rPr/>
            </w:pPr>
            <w:r w:rsidDel="00000000" w:rsidR="00000000" w:rsidRPr="00000000">
              <w:rPr>
                <w:rtl w:val="0"/>
              </w:rPr>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120" w:line="312" w:lineRule="auto"/>
              <w:rPr>
                <w:color w:val="000000"/>
              </w:rPr>
            </w:pPr>
            <w:r w:rsidDel="00000000" w:rsidR="00000000" w:rsidRPr="00000000">
              <w:rPr>
                <w:rtl w:val="0"/>
              </w:rPr>
            </w:r>
          </w:p>
        </w:tc>
        <w:tc>
          <w:tcPr/>
          <w:p w:rsidR="00000000" w:rsidDel="00000000" w:rsidP="00000000" w:rsidRDefault="00000000" w:rsidRPr="00000000" w14:paraId="00000008">
            <w:pPr>
              <w:spacing w:after="240" w:lineRule="auto"/>
              <w:rPr/>
            </w:pPr>
            <w:r w:rsidDel="00000000" w:rsidR="00000000" w:rsidRPr="00000000">
              <w:rPr>
                <w:rtl w:val="0"/>
              </w:rPr>
              <w:t xml:space="preserve">Karen Wood</w:t>
            </w:r>
          </w:p>
          <w:p w:rsidR="00000000" w:rsidDel="00000000" w:rsidP="00000000" w:rsidRDefault="00000000" w:rsidRPr="00000000" w14:paraId="00000009">
            <w:pPr>
              <w:spacing w:after="240" w:lineRule="auto"/>
              <w:rPr/>
            </w:pPr>
            <w:r w:rsidDel="00000000" w:rsidR="00000000" w:rsidRPr="00000000">
              <w:rPr>
                <w:rtl w:val="0"/>
              </w:rPr>
            </w:r>
          </w:p>
        </w:tc>
        <w:tc>
          <w:tcPr/>
          <w:p w:rsidR="00000000" w:rsidDel="00000000" w:rsidP="00000000" w:rsidRDefault="00000000" w:rsidRPr="00000000" w14:paraId="0000000A">
            <w:pPr>
              <w:spacing w:after="240" w:before="120" w:lineRule="auto"/>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line="312" w:lineRule="auto"/>
              <w:rPr>
                <w:color w:val="000000"/>
              </w:rPr>
            </w:pPr>
            <w:r w:rsidDel="00000000" w:rsidR="00000000" w:rsidRPr="00000000">
              <w:rPr>
                <w:b w:val="1"/>
                <w:color w:val="000000"/>
                <w:rtl w:val="0"/>
              </w:rPr>
              <w:t xml:space="preserve">IN ATTENDANCE</w:t>
            </w:r>
            <w:r w:rsidDel="00000000" w:rsidR="00000000" w:rsidRPr="00000000">
              <w:rPr>
                <w:color w:val="000000"/>
                <w:rtl w:val="0"/>
              </w:rPr>
              <w:t xml:space="preserve">:</w:t>
            </w:r>
          </w:p>
        </w:tc>
        <w:tc>
          <w:tcPr>
            <w:tcBorders>
              <w:bottom w:color="000000" w:space="0" w:sz="4" w:val="single"/>
            </w:tcBorders>
          </w:tcPr>
          <w:p w:rsidR="00000000" w:rsidDel="00000000" w:rsidP="00000000" w:rsidRDefault="00000000" w:rsidRPr="00000000" w14:paraId="0000000C">
            <w:pPr>
              <w:spacing w:after="240" w:lineRule="auto"/>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D">
            <w:pPr>
              <w:spacing w:after="240" w:lineRule="auto"/>
              <w:rPr/>
            </w:pPr>
            <w:r w:rsidDel="00000000" w:rsidR="00000000" w:rsidRPr="00000000">
              <w:rPr>
                <w:rtl w:val="0"/>
              </w:rPr>
            </w:r>
          </w:p>
        </w:tc>
      </w:tr>
    </w:tbl>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240" w:line="312" w:lineRule="auto"/>
        <w:ind w:left="851" w:hanging="851"/>
        <w:rPr>
          <w:color w:val="000000"/>
        </w:rPr>
      </w:pPr>
      <w:r w:rsidDel="00000000" w:rsidR="00000000" w:rsidRPr="00000000">
        <w:rPr>
          <w:b w:val="1"/>
          <w:color w:val="000000"/>
          <w:rtl w:val="0"/>
        </w:rPr>
        <w:t xml:space="preserve">DECLARATION OF INTERESTS</w:t>
      </w:r>
      <w:r w:rsidDel="00000000" w:rsidR="00000000" w:rsidRPr="00000000">
        <w:rPr>
          <w:rtl w:val="0"/>
        </w:rPr>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 director present declared the nature and extent of </w:t>
      </w:r>
      <w:r w:rsidDel="00000000" w:rsidR="00000000" w:rsidRPr="00000000">
        <w:rPr>
          <w:rtl w:val="0"/>
        </w:rPr>
        <w:t xml:space="preserve">her</w:t>
      </w:r>
      <w:r w:rsidDel="00000000" w:rsidR="00000000" w:rsidRPr="00000000">
        <w:rPr>
          <w:color w:val="000000"/>
          <w:rtl w:val="0"/>
        </w:rPr>
        <w:t xml:space="preserve"> interest in the proposed transactions to be considered at the meeting in accordance with the requirements of section 177 and section 182 of the Companies Act 2006 (the </w:t>
      </w:r>
      <w:r w:rsidDel="00000000" w:rsidR="00000000" w:rsidRPr="00000000">
        <w:rPr>
          <w:b w:val="1"/>
          <w:color w:val="000000"/>
          <w:rtl w:val="0"/>
        </w:rPr>
        <w:t xml:space="preserve">Act</w:t>
      </w:r>
      <w:r w:rsidDel="00000000" w:rsidR="00000000" w:rsidRPr="00000000">
        <w:rPr>
          <w:color w:val="000000"/>
          <w:rtl w:val="0"/>
        </w:rPr>
        <w:t xml:space="preserve">) and the articles of association of the Company (the </w:t>
      </w:r>
      <w:r w:rsidDel="00000000" w:rsidR="00000000" w:rsidRPr="00000000">
        <w:rPr>
          <w:b w:val="1"/>
          <w:color w:val="000000"/>
          <w:rtl w:val="0"/>
        </w:rPr>
        <w:t xml:space="preserve">Articles</w:t>
      </w:r>
      <w:r w:rsidDel="00000000" w:rsidR="00000000" w:rsidRPr="00000000">
        <w:rPr>
          <w:color w:val="000000"/>
          <w:rtl w:val="0"/>
        </w:rPr>
        <w:t xml:space="preserve">).</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Having declared such interest which was subsequently authorised or confirmed that they had no such interest, in accordance with article 2, the directors were not prohibited from voting on a resolution (or being counted in the quorum present at the meeting) in relation to any contract, transaction or arrangement, or proposed contract, transaction or arrangement, with the Company that was to be considered at the meeting.</w:t>
      </w:r>
    </w:p>
    <w:p w:rsidR="00000000" w:rsidDel="00000000" w:rsidP="00000000" w:rsidRDefault="00000000" w:rsidRPr="00000000" w14:paraId="00000012">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color w:val="000000"/>
        </w:rPr>
      </w:pPr>
      <w:r w:rsidDel="00000000" w:rsidR="00000000" w:rsidRPr="00000000">
        <w:rPr>
          <w:b w:val="1"/>
          <w:smallCaps w:val="1"/>
          <w:color w:val="000000"/>
          <w:rtl w:val="0"/>
        </w:rPr>
        <w:t xml:space="preserve">PURPOSE</w:t>
      </w:r>
      <w:r w:rsidDel="00000000" w:rsidR="00000000" w:rsidRPr="00000000">
        <w:rPr>
          <w:rtl w:val="0"/>
        </w:rPr>
      </w:r>
    </w:p>
    <w:p w:rsidR="00000000" w:rsidDel="00000000" w:rsidP="00000000" w:rsidRDefault="00000000" w:rsidRPr="00000000" w14:paraId="00000013">
      <w:pPr>
        <w:numPr>
          <w:ilvl w:val="1"/>
          <w:numId w:val="2"/>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It was reported that the purpose of the meeting was to consider, and if thought fit, to approve:</w:t>
      </w:r>
    </w:p>
    <w:p w:rsidR="00000000" w:rsidDel="00000000" w:rsidP="00000000" w:rsidRDefault="00000000" w:rsidRPr="00000000" w14:paraId="00000014">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the terms and conditions of the Documents (as defined below) and all ancillary related documents; </w:t>
      </w:r>
    </w:p>
    <w:p w:rsidR="00000000" w:rsidDel="00000000" w:rsidP="00000000" w:rsidRDefault="00000000" w:rsidRPr="00000000" w14:paraId="00000015">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any other documents and arrangements that are related or ancillary to the Documents.</w:t>
      </w:r>
    </w:p>
    <w:p w:rsidR="00000000" w:rsidDel="00000000" w:rsidP="00000000" w:rsidRDefault="00000000" w:rsidRPr="00000000" w14:paraId="00000016">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color w:val="000000"/>
        </w:rPr>
      </w:pPr>
      <w:r w:rsidDel="00000000" w:rsidR="00000000" w:rsidRPr="00000000">
        <w:rPr>
          <w:b w:val="1"/>
          <w:color w:val="000000"/>
          <w:rtl w:val="0"/>
        </w:rPr>
        <w:t xml:space="preserve">DOCUMENTS TABLED</w:t>
      </w:r>
      <w:r w:rsidDel="00000000" w:rsidR="00000000" w:rsidRPr="00000000">
        <w:rPr>
          <w:rtl w:val="0"/>
        </w:rPr>
      </w:r>
    </w:p>
    <w:bookmarkStart w:colFirst="0" w:colLast="0" w:name="bookmark=id.gjdgxs" w:id="0"/>
    <w:bookmarkEnd w:id="0"/>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 following documents were produced to the meeting (the </w:t>
      </w:r>
      <w:r w:rsidDel="00000000" w:rsidR="00000000" w:rsidRPr="00000000">
        <w:rPr>
          <w:b w:val="1"/>
          <w:color w:val="000000"/>
          <w:rtl w:val="0"/>
        </w:rPr>
        <w:t xml:space="preserve">Documents</w:t>
      </w:r>
      <w:r w:rsidDel="00000000" w:rsidR="00000000" w:rsidRPr="00000000">
        <w:rPr>
          <w:color w:val="000000"/>
          <w:rtl w:val="0"/>
        </w:rPr>
        <w:t xml:space="preserve">)</w:t>
      </w:r>
      <w:bookmarkStart w:colFirst="0" w:colLast="0" w:name="bookmark=id.30j0zll" w:id="1"/>
      <w:bookmarkEnd w:id="1"/>
      <w:r w:rsidDel="00000000" w:rsidR="00000000" w:rsidRPr="00000000">
        <w:rPr>
          <w:color w:val="000000"/>
          <w:rtl w:val="0"/>
        </w:rPr>
        <w:t xml:space="preserve">:</w:t>
      </w:r>
    </w:p>
    <w:p w:rsidR="00000000" w:rsidDel="00000000" w:rsidP="00000000" w:rsidRDefault="00000000" w:rsidRPr="00000000" w14:paraId="00000018">
      <w:pPr>
        <w:numPr>
          <w:ilvl w:val="2"/>
          <w:numId w:val="1"/>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a draft loan agreement for a total principal amount not exceeding £</w:t>
      </w:r>
      <w:r w:rsidDel="00000000" w:rsidR="00000000" w:rsidRPr="00000000">
        <w:rPr>
          <w:rtl w:val="0"/>
        </w:rPr>
        <w:t xml:space="preserve">1,000</w:t>
      </w:r>
      <w:r w:rsidDel="00000000" w:rsidR="00000000" w:rsidRPr="00000000">
        <w:rPr>
          <w:color w:val="000000"/>
          <w:rtl w:val="0"/>
        </w:rPr>
        <w:t xml:space="preserve">,000 to be made between the Trustees as lender and the Company as borrower.</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240" w:line="312" w:lineRule="auto"/>
        <w:ind w:left="851" w:hanging="851"/>
        <w:rPr>
          <w:color w:val="000000"/>
        </w:rPr>
      </w:pPr>
      <w:r w:rsidDel="00000000" w:rsidR="00000000" w:rsidRPr="00000000">
        <w:rPr>
          <w:b w:val="1"/>
          <w:color w:val="000000"/>
          <w:rtl w:val="0"/>
        </w:rPr>
        <w:t xml:space="preserve">CONSIDERATION</w:t>
      </w:r>
      <w:r w:rsidDel="00000000" w:rsidR="00000000" w:rsidRPr="00000000">
        <w:rPr>
          <w:rtl w:val="0"/>
        </w:rPr>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 directors carefully considered the terms of, and the transactions contemplated by the Documents including:</w:t>
      </w:r>
    </w:p>
    <w:p w:rsidR="00000000" w:rsidDel="00000000" w:rsidP="00000000" w:rsidRDefault="00000000" w:rsidRPr="00000000" w14:paraId="0000001B">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the entry into the Documents;</w:t>
      </w:r>
    </w:p>
    <w:p w:rsidR="00000000" w:rsidDel="00000000" w:rsidP="00000000" w:rsidRDefault="00000000" w:rsidRPr="00000000" w14:paraId="0000001C">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the representations, covenants and events of default under the Documents; and</w:t>
      </w:r>
    </w:p>
    <w:p w:rsidR="00000000" w:rsidDel="00000000" w:rsidP="00000000" w:rsidRDefault="00000000" w:rsidRPr="00000000" w14:paraId="0000001D">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the term, interest rate, fees and other elements of the pricing for the facilities provided pursuant to the Documents.</w:t>
      </w:r>
    </w:p>
    <w:p w:rsidR="00000000" w:rsidDel="00000000" w:rsidP="00000000" w:rsidRDefault="00000000" w:rsidRPr="00000000" w14:paraId="0000001E">
      <w:pPr>
        <w:numPr>
          <w:ilvl w:val="1"/>
          <w:numId w:val="2"/>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The directors noted that:</w:t>
      </w:r>
    </w:p>
    <w:p w:rsidR="00000000" w:rsidDel="00000000" w:rsidP="00000000" w:rsidRDefault="00000000" w:rsidRPr="00000000" w14:paraId="0000001F">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the Company would benefit from the transactions contemplated by the Documents;</w:t>
      </w:r>
    </w:p>
    <w:p w:rsidR="00000000" w:rsidDel="00000000" w:rsidP="00000000" w:rsidRDefault="00000000" w:rsidRPr="00000000" w14:paraId="00000020">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entering into the Documents would promote the success of the Company for the benefit of the shareholders as a whole; and</w:t>
      </w:r>
    </w:p>
    <w:p w:rsidR="00000000" w:rsidDel="00000000" w:rsidP="00000000" w:rsidRDefault="00000000" w:rsidRPr="00000000" w14:paraId="00000021">
      <w:pPr>
        <w:numPr>
          <w:ilvl w:val="2"/>
          <w:numId w:val="2"/>
        </w:numPr>
        <w:pBdr>
          <w:top w:space="0" w:sz="0" w:val="nil"/>
          <w:left w:space="0" w:sz="0" w:val="nil"/>
          <w:bottom w:space="0" w:sz="0" w:val="nil"/>
          <w:right w:space="0" w:sz="0" w:val="nil"/>
          <w:between w:space="0" w:sz="0" w:val="nil"/>
        </w:pBdr>
        <w:spacing w:after="240" w:line="312" w:lineRule="auto"/>
        <w:ind w:left="1984" w:hanging="1134"/>
        <w:rPr>
          <w:color w:val="000000"/>
        </w:rPr>
      </w:pPr>
      <w:r w:rsidDel="00000000" w:rsidR="00000000" w:rsidRPr="00000000">
        <w:rPr>
          <w:color w:val="000000"/>
          <w:rtl w:val="0"/>
        </w:rPr>
        <w:t xml:space="preserve">no guarantee, security or similar limit binding on the Company would be breached by the Company entering into the Documents.</w:t>
      </w:r>
    </w:p>
    <w:p w:rsidR="00000000" w:rsidDel="00000000" w:rsidP="00000000" w:rsidRDefault="00000000" w:rsidRPr="00000000" w14:paraId="00000022">
      <w:pPr>
        <w:keepNext w:val="1"/>
        <w:numPr>
          <w:ilvl w:val="0"/>
          <w:numId w:val="1"/>
        </w:numPr>
        <w:pBdr>
          <w:top w:space="0" w:sz="0" w:val="nil"/>
          <w:left w:space="0" w:sz="0" w:val="nil"/>
          <w:bottom w:space="0" w:sz="0" w:val="nil"/>
          <w:right w:space="0" w:sz="0" w:val="nil"/>
          <w:between w:space="0" w:sz="0" w:val="nil"/>
        </w:pBdr>
        <w:spacing w:after="240" w:line="312" w:lineRule="auto"/>
        <w:ind w:left="851" w:hanging="851"/>
        <w:rPr>
          <w:color w:val="000000"/>
        </w:rPr>
      </w:pPr>
      <w:r w:rsidDel="00000000" w:rsidR="00000000" w:rsidRPr="00000000">
        <w:rPr>
          <w:b w:val="1"/>
          <w:color w:val="000000"/>
          <w:rtl w:val="0"/>
        </w:rPr>
        <w:t xml:space="preserve">APPROVAL AND AUTHORISATION</w:t>
      </w:r>
      <w:r w:rsidDel="00000000" w:rsidR="00000000" w:rsidRPr="00000000">
        <w:rPr>
          <w:rtl w:val="0"/>
        </w:rPr>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240" w:line="312" w:lineRule="auto"/>
        <w:ind w:left="850" w:hanging="850"/>
        <w:rPr>
          <w:color w:val="000000"/>
        </w:rPr>
      </w:pPr>
      <w:r w:rsidDel="00000000" w:rsidR="00000000" w:rsidRPr="00000000">
        <w:rPr>
          <w:color w:val="000000"/>
          <w:rtl w:val="0"/>
        </w:rPr>
        <w:t xml:space="preserve">Having considered the above matters fully, including the terms of the Documents, the transactions contemplated by them and the matters referred to in section 172(1) of the Act,</w:t>
      </w:r>
      <w:r w:rsidDel="00000000" w:rsidR="00000000" w:rsidRPr="00000000">
        <w:rPr>
          <w:b w:val="1"/>
          <w:color w:val="000000"/>
          <w:rtl w:val="0"/>
        </w:rPr>
        <w:t xml:space="preserve"> </w:t>
      </w:r>
      <w:r w:rsidDel="00000000" w:rsidR="00000000" w:rsidRPr="00000000">
        <w:rPr>
          <w:color w:val="000000"/>
          <w:rtl w:val="0"/>
        </w:rPr>
        <w:t xml:space="preserve">IT WAS RESOLVED, in each case subject to any further amendments made by or under the authority of any director, that:</w:t>
      </w:r>
    </w:p>
    <w:p w:rsidR="00000000" w:rsidDel="00000000" w:rsidP="00000000" w:rsidRDefault="00000000" w:rsidRPr="00000000" w14:paraId="00000024">
      <w:pPr>
        <w:numPr>
          <w:ilvl w:val="2"/>
          <w:numId w:val="1"/>
        </w:numPr>
        <w:pBdr>
          <w:top w:space="0" w:sz="0" w:val="nil"/>
          <w:left w:space="0" w:sz="0" w:val="nil"/>
          <w:bottom w:space="0" w:sz="0" w:val="nil"/>
          <w:right w:space="0" w:sz="0" w:val="nil"/>
          <w:between w:space="0" w:sz="0" w:val="nil"/>
        </w:pBdr>
        <w:spacing w:after="240" w:line="312" w:lineRule="auto"/>
        <w:ind w:left="1843" w:hanging="992"/>
        <w:rPr>
          <w:color w:val="000000"/>
        </w:rPr>
      </w:pPr>
      <w:r w:rsidDel="00000000" w:rsidR="00000000" w:rsidRPr="00000000">
        <w:rPr>
          <w:color w:val="000000"/>
          <w:rtl w:val="0"/>
        </w:rPr>
        <w:t xml:space="preserve">it is in the best interests of the Company's business, and to the commercial benefit and advantage of the Company, to enter into the Documents and that entering into the transactions contemplated thereunder will promote the success of the Company for the benefit of the shareholders as a whole; and</w:t>
      </w:r>
    </w:p>
    <w:p w:rsidR="00000000" w:rsidDel="00000000" w:rsidP="00000000" w:rsidRDefault="00000000" w:rsidRPr="00000000" w14:paraId="00000025">
      <w:pPr>
        <w:numPr>
          <w:ilvl w:val="2"/>
          <w:numId w:val="1"/>
        </w:numPr>
        <w:pBdr>
          <w:top w:space="0" w:sz="0" w:val="nil"/>
          <w:left w:space="0" w:sz="0" w:val="nil"/>
          <w:bottom w:space="0" w:sz="0" w:val="nil"/>
          <w:right w:space="0" w:sz="0" w:val="nil"/>
          <w:between w:space="0" w:sz="0" w:val="nil"/>
        </w:pBdr>
        <w:spacing w:after="240" w:line="312" w:lineRule="auto"/>
        <w:ind w:left="1843" w:hanging="992"/>
        <w:rPr>
          <w:color w:val="000000"/>
        </w:rPr>
      </w:pPr>
      <w:r w:rsidDel="00000000" w:rsidR="00000000" w:rsidRPr="00000000">
        <w:rPr>
          <w:color w:val="000000"/>
          <w:rtl w:val="0"/>
        </w:rPr>
        <w:t xml:space="preserve">the Documents, with any amendments as the person signing them may approve (such signature to constitute approval of any such amendments) and any documents ancillary or related to any of them to which the Company is to be a party should be executed on behalf of the Company by any authorised director or, in the case of any deed, by any authorised director in the presence of a witness pursuant to s.44(2)(b) Companies Act 2006 (each such person being an “</w:t>
      </w:r>
      <w:r w:rsidDel="00000000" w:rsidR="00000000" w:rsidRPr="00000000">
        <w:rPr>
          <w:b w:val="1"/>
          <w:color w:val="000000"/>
          <w:rtl w:val="0"/>
        </w:rPr>
        <w:t xml:space="preserve">Authorised Signatory</w:t>
      </w:r>
      <w:r w:rsidDel="00000000" w:rsidR="00000000" w:rsidRPr="00000000">
        <w:rPr>
          <w:color w:val="000000"/>
          <w:rtl w:val="0"/>
        </w:rPr>
        <w:t xml:space="preserve">”).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Signed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David Anthony Wood</w:t>
        <w:tab/>
        <w:tab/>
        <w:tab/>
        <w:tab/>
        <w:tab/>
        <w:tab/>
        <w:t xml:space="preserve">Karen Wood</w:t>
      </w:r>
    </w:p>
    <w:p w:rsidR="00000000" w:rsidDel="00000000" w:rsidP="00000000" w:rsidRDefault="00000000" w:rsidRPr="00000000" w14:paraId="0000002E">
      <w:pPr>
        <w:rPr>
          <w:b w:val="1"/>
        </w:rPr>
      </w:pPr>
      <w:r w:rsidDel="00000000" w:rsidR="00000000" w:rsidRPr="00000000">
        <w:rPr>
          <w:b w:val="1"/>
          <w:rtl w:val="0"/>
        </w:rPr>
        <w:t xml:space="preserve">Director</w:t>
        <w:tab/>
        <w:tab/>
        <w:tab/>
        <w:tab/>
        <w:tab/>
        <w:tab/>
        <w:tab/>
        <w:tab/>
        <w:t xml:space="preserve">Director</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418" w:left="1418" w:right="1418" w:header="709"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tabs>
        <w:tab w:val="right" w:leader="none" w:pos="9072"/>
      </w:tabs>
      <w:rPr>
        <w:sz w:val="16"/>
        <w:szCs w:val="16"/>
      </w:rPr>
    </w:pPr>
    <w:r w:rsidDel="00000000" w:rsidR="00000000" w:rsidRPr="00000000">
      <w:rPr>
        <w:sz w:val="16"/>
        <w:szCs w:val="16"/>
        <w:rtl w:val="0"/>
      </w:rPr>
      <w:tab/>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160"/>
        <w:tab w:val="right" w:leader="none" w:pos="8300"/>
      </w:tabs>
      <w:rPr>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abstractNum w:abstractNumId="2">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4" w:hanging="1134"/>
      </w:pPr>
      <w:rPr>
        <w:b w:val="0"/>
        <w:i w:val="0"/>
        <w:smallCaps w:val="0"/>
        <w:strike w:val="0"/>
        <w:u w:val="none"/>
        <w:vertAlign w:val="baseline"/>
      </w:rPr>
    </w:lvl>
    <w:lvl w:ilvl="3">
      <w:start w:val="1"/>
      <w:numFmt w:val="decimal"/>
      <w:lvlText w:val="%1.%2.%3.%4"/>
      <w:lvlJc w:val="left"/>
      <w:pPr>
        <w:ind w:left="3118" w:hanging="1134"/>
      </w:pPr>
      <w:rPr>
        <w:b w:val="0"/>
        <w:i w:val="0"/>
        <w:smallCaps w:val="0"/>
        <w:strike w:val="0"/>
        <w:u w:val="none"/>
        <w:vertAlign w:val="baseline"/>
      </w:rPr>
    </w:lvl>
    <w:lvl w:ilvl="4">
      <w:start w:val="1"/>
      <w:numFmt w:val="lowerLetter"/>
      <w:lvlText w:val="(%5)"/>
      <w:lvlJc w:val="left"/>
      <w:pPr>
        <w:ind w:left="3685" w:hanging="567"/>
      </w:pPr>
      <w:rPr>
        <w:b w:val="0"/>
        <w:i w:val="0"/>
        <w:smallCaps w:val="0"/>
        <w:strike w:val="0"/>
        <w:u w:val="none"/>
        <w:vertAlign w:val="baseline"/>
      </w:rPr>
    </w:lvl>
    <w:lvl w:ilvl="5">
      <w:start w:val="1"/>
      <w:numFmt w:val="lowerRoman"/>
      <w:lvlText w:val="(%6)"/>
      <w:lvlJc w:val="left"/>
      <w:pPr>
        <w:ind w:left="4252" w:hanging="567"/>
      </w:pPr>
      <w:rPr>
        <w:b w:val="0"/>
        <w:i w:val="0"/>
        <w:smallCaps w:val="0"/>
        <w:strike w:val="0"/>
        <w:u w:val="none"/>
        <w:vertAlign w:val="baseline"/>
      </w:rPr>
    </w:lvl>
    <w:lvl w:ilvl="6">
      <w:start w:val="1"/>
      <w:numFmt w:val="decimal"/>
      <w:lvlText w:val=""/>
      <w:lvlJc w:val="left"/>
      <w:pPr>
        <w:ind w:left="0" w:firstLine="0"/>
      </w:pPr>
      <w:rPr>
        <w:b w:val="0"/>
        <w:i w:val="0"/>
        <w:smallCaps w:val="0"/>
        <w:strike w:val="0"/>
        <w:u w:val="none"/>
        <w:vertAlign w:val="baseline"/>
      </w:rPr>
    </w:lvl>
    <w:lvl w:ilvl="7">
      <w:start w:val="1"/>
      <w:numFmt w:val="lowerLetter"/>
      <w:lvlText w:val="(%8)"/>
      <w:lvlJc w:val="left"/>
      <w:pPr>
        <w:ind w:left="850" w:hanging="850"/>
      </w:pPr>
      <w:rPr>
        <w:b w:val="0"/>
        <w:i w:val="0"/>
        <w:smallCaps w:val="0"/>
        <w:strike w:val="0"/>
        <w:u w:val="none"/>
        <w:vertAlign w:val="baseline"/>
      </w:rPr>
    </w:lvl>
    <w:lvl w:ilvl="8">
      <w:start w:val="1"/>
      <w:numFmt w:val="lowerRoman"/>
      <w:lvlText w:val="(%9)"/>
      <w:lvlJc w:val="left"/>
      <w:pPr>
        <w:ind w:left="1701" w:hanging="851"/>
      </w:pPr>
      <w:rPr>
        <w:b w:val="0"/>
        <w:i w:val="0"/>
        <w:smallCaps w:val="0"/>
        <w:strike w:val="0"/>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F3tDysELtkQHWK1v/aUnW1RTZg==">AMUW2mV0jEgsB7+NLLRmFly0jZK6sZuj79yPFNrQ1/Jpy1NtHaeGLx+pUVr10M8G7CO0K5n8sPXzg6TuFfjKP67vc2XTimCo30WjfgipAgJU3Le2hJsB49t9RoUo60qvHvCmXB0x1Mm2C4f1ln8Yt6XveCcFPGMM/g==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2019-03-25T15:19:00Z</dcterms:created>
</cp:coreProperties>
</file>