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2C0B4" w14:textId="77777777" w:rsidR="00DC6D61" w:rsidRPr="00DC6D61" w:rsidRDefault="00DC6D61" w:rsidP="00DC6D61">
      <w:pPr>
        <w:pStyle w:val="CoversheetStaticText"/>
        <w:rPr>
          <w:b/>
          <w:szCs w:val="22"/>
        </w:rPr>
      </w:pPr>
      <w:r w:rsidRPr="00DC6D61">
        <w:rPr>
          <w:b/>
          <w:szCs w:val="22"/>
        </w:rPr>
        <w:t>DATED</w:t>
      </w:r>
    </w:p>
    <w:p w14:paraId="24E76CDE" w14:textId="454EB207" w:rsidR="00DC6D61" w:rsidRPr="00DC6D61" w:rsidRDefault="00605C94" w:rsidP="00DC6D61">
      <w:pPr>
        <w:pStyle w:val="CoversheetStaticText"/>
        <w:rPr>
          <w:b/>
          <w:szCs w:val="22"/>
        </w:rPr>
      </w:pPr>
      <w:r>
        <w:rPr>
          <w:szCs w:val="22"/>
        </w:rPr>
        <w:t>3</w:t>
      </w:r>
      <w:r w:rsidR="009B5C5D">
        <w:rPr>
          <w:szCs w:val="22"/>
        </w:rPr>
        <w:t>0</w:t>
      </w:r>
      <w:r w:rsidR="009B5C5D" w:rsidRPr="009B5C5D">
        <w:rPr>
          <w:szCs w:val="22"/>
          <w:vertAlign w:val="superscript"/>
        </w:rPr>
        <w:t>th</w:t>
      </w:r>
      <w:r w:rsidR="009B5C5D">
        <w:rPr>
          <w:szCs w:val="22"/>
        </w:rPr>
        <w:t xml:space="preserve"> </w:t>
      </w:r>
      <w:r>
        <w:rPr>
          <w:szCs w:val="22"/>
        </w:rPr>
        <w:t>July 2019</w:t>
      </w:r>
    </w:p>
    <w:p w14:paraId="5D485252" w14:textId="77777777" w:rsidR="00DC6D61" w:rsidRPr="00DC6D61" w:rsidRDefault="00517195" w:rsidP="00DC6D61">
      <w:pPr>
        <w:pStyle w:val="CoversheetTitle"/>
        <w:rPr>
          <w:sz w:val="22"/>
          <w:szCs w:val="22"/>
        </w:rPr>
      </w:pPr>
      <w:r>
        <w:rPr>
          <w:sz w:val="22"/>
          <w:szCs w:val="22"/>
        </w:rPr>
        <w:t>participation</w:t>
      </w:r>
      <w:r w:rsidR="00D42F9E" w:rsidRPr="00DC6D61">
        <w:rPr>
          <w:sz w:val="22"/>
          <w:szCs w:val="22"/>
        </w:rPr>
        <w:t xml:space="preserve"> agreement</w:t>
      </w:r>
    </w:p>
    <w:p w14:paraId="3A8AED2E" w14:textId="77777777" w:rsidR="00DC6D61" w:rsidRPr="00DC6D61" w:rsidRDefault="007D20B8" w:rsidP="00DC6D61">
      <w:pPr>
        <w:pStyle w:val="CoversheetStaticText"/>
        <w:rPr>
          <w:szCs w:val="22"/>
        </w:rPr>
      </w:pPr>
      <w:r w:rsidRPr="00DC6D61">
        <w:rPr>
          <w:szCs w:val="22"/>
        </w:rPr>
        <w:t>between</w:t>
      </w:r>
    </w:p>
    <w:p w14:paraId="7EB9CBEF" w14:textId="77777777" w:rsidR="00DC6D61" w:rsidRPr="00DC6D61" w:rsidRDefault="00DC6D61" w:rsidP="00DC6D61">
      <w:pPr>
        <w:pStyle w:val="CoversheetParty"/>
        <w:rPr>
          <w:szCs w:val="22"/>
        </w:rPr>
      </w:pPr>
      <w:r w:rsidRPr="00DC6D61">
        <w:rPr>
          <w:szCs w:val="22"/>
        </w:rPr>
        <w:t>The Investor</w:t>
      </w:r>
    </w:p>
    <w:p w14:paraId="38D181F1" w14:textId="77777777" w:rsidR="00DC6D61" w:rsidRPr="00DC6D61" w:rsidRDefault="00DC6D61" w:rsidP="00DC6D61">
      <w:pPr>
        <w:pStyle w:val="CoversheetStaticText"/>
        <w:rPr>
          <w:szCs w:val="22"/>
        </w:rPr>
      </w:pPr>
      <w:r w:rsidRPr="00DC6D61">
        <w:rPr>
          <w:szCs w:val="22"/>
        </w:rPr>
        <w:t>and</w:t>
      </w:r>
    </w:p>
    <w:p w14:paraId="5872C69A" w14:textId="77777777" w:rsidR="00DC6D61" w:rsidRPr="00DC6D61" w:rsidRDefault="00DC6D61" w:rsidP="00DC6D61">
      <w:pPr>
        <w:pStyle w:val="CoversheetParty"/>
        <w:rPr>
          <w:szCs w:val="22"/>
        </w:rPr>
      </w:pPr>
      <w:r w:rsidRPr="00DC6D61">
        <w:rPr>
          <w:szCs w:val="22"/>
        </w:rPr>
        <w:t>The Founders</w:t>
      </w:r>
    </w:p>
    <w:p w14:paraId="4639E9CC" w14:textId="77777777" w:rsidR="00DC6D61" w:rsidRPr="00DC6D61" w:rsidRDefault="00DC6D61" w:rsidP="007D20B8">
      <w:pPr>
        <w:pStyle w:val="CoversheetStaticText"/>
        <w:rPr>
          <w:szCs w:val="22"/>
        </w:rPr>
      </w:pPr>
      <w:r w:rsidRPr="00DC6D61">
        <w:rPr>
          <w:szCs w:val="22"/>
        </w:rPr>
        <w:t>and</w:t>
      </w:r>
    </w:p>
    <w:p w14:paraId="36CB0782" w14:textId="77777777" w:rsidR="007D20B8" w:rsidRPr="00DC6D61" w:rsidRDefault="007D20B8" w:rsidP="007D20B8">
      <w:pPr>
        <w:pStyle w:val="CoversheetParty"/>
        <w:rPr>
          <w:szCs w:val="22"/>
        </w:rPr>
      </w:pPr>
      <w:r w:rsidRPr="00DC6D61">
        <w:rPr>
          <w:szCs w:val="22"/>
        </w:rPr>
        <w:t xml:space="preserve">Aram Capital Limited </w:t>
      </w:r>
    </w:p>
    <w:p w14:paraId="25EBDC3F" w14:textId="77777777" w:rsidR="007D20B8" w:rsidRPr="00DC6D61" w:rsidRDefault="007D20B8" w:rsidP="007D20B8">
      <w:pPr>
        <w:pStyle w:val="CoversheetParty"/>
        <w:rPr>
          <w:b w:val="0"/>
          <w:szCs w:val="22"/>
        </w:rPr>
      </w:pPr>
      <w:r w:rsidRPr="00DC6D61">
        <w:rPr>
          <w:b w:val="0"/>
          <w:szCs w:val="22"/>
        </w:rPr>
        <w:t>and</w:t>
      </w:r>
    </w:p>
    <w:p w14:paraId="646D2471" w14:textId="77777777" w:rsidR="007D20B8" w:rsidRDefault="008652C6" w:rsidP="00DC6D61">
      <w:pPr>
        <w:pStyle w:val="CoversheetParty"/>
        <w:rPr>
          <w:szCs w:val="22"/>
        </w:rPr>
      </w:pPr>
      <w:r>
        <w:rPr>
          <w:szCs w:val="22"/>
        </w:rPr>
        <w:t>Fine Holdings</w:t>
      </w:r>
      <w:r w:rsidR="007D20B8" w:rsidRPr="00DC6D61">
        <w:rPr>
          <w:szCs w:val="22"/>
        </w:rPr>
        <w:t xml:space="preserve"> </w:t>
      </w:r>
      <w:r w:rsidR="00630B78">
        <w:rPr>
          <w:szCs w:val="22"/>
        </w:rPr>
        <w:t>– Lux Co</w:t>
      </w:r>
    </w:p>
    <w:p w14:paraId="4A1BEECC" w14:textId="77777777" w:rsidR="007D20B8" w:rsidRPr="00DC6D61" w:rsidRDefault="007D20B8" w:rsidP="00DC6D61">
      <w:pPr>
        <w:pStyle w:val="CoversheetParty"/>
        <w:rPr>
          <w:szCs w:val="22"/>
        </w:rPr>
      </w:pPr>
    </w:p>
    <w:p w14:paraId="2CA4E998" w14:textId="77777777" w:rsidR="007D20B8" w:rsidRPr="00DC6D61" w:rsidRDefault="007D20B8" w:rsidP="00DC6D61">
      <w:pPr>
        <w:pStyle w:val="CoversheetParty"/>
        <w:rPr>
          <w:szCs w:val="22"/>
        </w:rPr>
      </w:pPr>
    </w:p>
    <w:p w14:paraId="4DA22BC2" w14:textId="77777777" w:rsidR="007D20B8" w:rsidRPr="00DC6D61" w:rsidRDefault="007D20B8" w:rsidP="00DC6D61">
      <w:pPr>
        <w:pStyle w:val="CoversheetParty"/>
        <w:rPr>
          <w:szCs w:val="22"/>
        </w:rPr>
        <w:sectPr w:rsidR="007D20B8" w:rsidRPr="00DC6D61">
          <w:pgSz w:w="12240" w:h="15840"/>
          <w:pgMar w:top="1440" w:right="1440" w:bottom="1440" w:left="1440" w:header="720" w:footer="720" w:gutter="0"/>
          <w:cols w:space="720"/>
        </w:sectPr>
      </w:pPr>
    </w:p>
    <w:p w14:paraId="61758C83" w14:textId="77777777" w:rsidR="007D20B8" w:rsidRPr="00DC6D61" w:rsidRDefault="007D20B8" w:rsidP="007D20B8">
      <w:pPr>
        <w:spacing w:before="120" w:after="120"/>
        <w:jc w:val="center"/>
        <w:rPr>
          <w:rFonts w:eastAsia="Times New Roman"/>
        </w:rPr>
      </w:pPr>
      <w:r w:rsidRPr="00DC6D61">
        <w:rPr>
          <w:rFonts w:eastAsia="Times New Roman"/>
        </w:rPr>
        <w:t>Underwood Solicitors LLP</w:t>
      </w:r>
    </w:p>
    <w:p w14:paraId="759C7207" w14:textId="77777777" w:rsidR="007D20B8" w:rsidRPr="00DC6D61" w:rsidRDefault="007D20B8" w:rsidP="007D20B8">
      <w:pPr>
        <w:spacing w:before="120" w:after="120"/>
        <w:jc w:val="center"/>
        <w:rPr>
          <w:rFonts w:eastAsia="Times New Roman"/>
        </w:rPr>
      </w:pPr>
      <w:r w:rsidRPr="00DC6D61">
        <w:rPr>
          <w:rFonts w:eastAsia="Times New Roman"/>
        </w:rPr>
        <w:t>40 Welbeck Street</w:t>
      </w:r>
    </w:p>
    <w:p w14:paraId="0DCF5ABA" w14:textId="77777777" w:rsidR="007D20B8" w:rsidRPr="00DC6D61" w:rsidRDefault="007D20B8" w:rsidP="007D20B8">
      <w:pPr>
        <w:spacing w:before="120" w:after="120"/>
        <w:jc w:val="center"/>
        <w:rPr>
          <w:rFonts w:eastAsia="Times New Roman"/>
        </w:rPr>
      </w:pPr>
      <w:r w:rsidRPr="00DC6D61">
        <w:rPr>
          <w:rFonts w:eastAsia="Times New Roman"/>
        </w:rPr>
        <w:t>London W1G 8LN</w:t>
      </w:r>
    </w:p>
    <w:p w14:paraId="66D83F80" w14:textId="77777777" w:rsidR="007D20B8" w:rsidRPr="00DC6D61" w:rsidRDefault="007D20B8" w:rsidP="007D20B8">
      <w:pPr>
        <w:spacing w:before="120" w:after="120"/>
        <w:jc w:val="center"/>
        <w:rPr>
          <w:rFonts w:eastAsia="Times New Roman"/>
        </w:rPr>
      </w:pPr>
      <w:r w:rsidRPr="00DC6D61">
        <w:rPr>
          <w:rFonts w:eastAsia="Times New Roman"/>
        </w:rPr>
        <w:t>Tel: 020 7526 6000</w:t>
      </w:r>
    </w:p>
    <w:p w14:paraId="1108F89B" w14:textId="77777777" w:rsidR="00DC6D61" w:rsidRPr="00DC6D61" w:rsidRDefault="007D20B8" w:rsidP="007D20B8">
      <w:pPr>
        <w:jc w:val="center"/>
        <w:sectPr w:rsidR="00DC6D61" w:rsidRPr="00DC6D61">
          <w:type w:val="continuous"/>
          <w:pgSz w:w="12240" w:h="15840"/>
          <w:pgMar w:top="1440" w:right="1440" w:bottom="1440" w:left="1440" w:header="720" w:footer="720" w:gutter="0"/>
          <w:cols w:space="720"/>
        </w:sectPr>
      </w:pPr>
      <w:r w:rsidRPr="00DC6D61">
        <w:rPr>
          <w:rFonts w:eastAsia="Times New Roman"/>
        </w:rPr>
        <w:t>Fax: 020 7526 6001</w:t>
      </w:r>
    </w:p>
    <w:p w14:paraId="20360364" w14:textId="77777777" w:rsidR="00DC6D61" w:rsidRPr="00DC6D61" w:rsidRDefault="00DC6D61" w:rsidP="00DC6D61">
      <w:pPr>
        <w:pStyle w:val="HeadingLevel2"/>
        <w:rPr>
          <w:sz w:val="22"/>
          <w:szCs w:val="22"/>
        </w:rPr>
      </w:pPr>
    </w:p>
    <w:p w14:paraId="532CC5D4" w14:textId="77777777" w:rsidR="00DC6D61" w:rsidRPr="00DC6D61" w:rsidRDefault="00DC6D61" w:rsidP="00DC6D61">
      <w:pPr>
        <w:pStyle w:val="HeadingLevel2"/>
        <w:rPr>
          <w:sz w:val="22"/>
          <w:szCs w:val="22"/>
        </w:rPr>
      </w:pPr>
    </w:p>
    <w:p w14:paraId="77AE4030" w14:textId="22143807" w:rsidR="00DC6D61" w:rsidRPr="00DC6D61" w:rsidRDefault="007D20B8" w:rsidP="00DC6D61">
      <w:pPr>
        <w:pStyle w:val="IntroDefault"/>
        <w:rPr>
          <w:szCs w:val="22"/>
        </w:rPr>
      </w:pPr>
      <w:r w:rsidRPr="00DC6D61">
        <w:rPr>
          <w:szCs w:val="22"/>
        </w:rPr>
        <w:t xml:space="preserve">This agreement is dated </w:t>
      </w:r>
      <w:r w:rsidR="00B27B51">
        <w:rPr>
          <w:szCs w:val="22"/>
        </w:rPr>
        <w:t>3</w:t>
      </w:r>
      <w:r w:rsidR="009B5C5D">
        <w:rPr>
          <w:szCs w:val="22"/>
        </w:rPr>
        <w:t>0</w:t>
      </w:r>
      <w:r w:rsidR="009B5C5D" w:rsidRPr="009B5C5D">
        <w:rPr>
          <w:szCs w:val="22"/>
          <w:vertAlign w:val="superscript"/>
        </w:rPr>
        <w:t>th</w:t>
      </w:r>
      <w:r w:rsidR="009B5C5D">
        <w:rPr>
          <w:szCs w:val="22"/>
        </w:rPr>
        <w:t xml:space="preserve"> </w:t>
      </w:r>
      <w:r w:rsidR="00B27B51">
        <w:rPr>
          <w:szCs w:val="22"/>
        </w:rPr>
        <w:t xml:space="preserve">July </w:t>
      </w:r>
      <w:r w:rsidRPr="00DC6D61">
        <w:rPr>
          <w:szCs w:val="22"/>
        </w:rPr>
        <w:t>2019</w:t>
      </w:r>
    </w:p>
    <w:p w14:paraId="72E15A09" w14:textId="77777777" w:rsidR="00DC6D61" w:rsidRPr="00DC6D61" w:rsidRDefault="00DC6D61" w:rsidP="00DC6D61">
      <w:pPr>
        <w:pStyle w:val="DescriptiveHeading"/>
        <w:rPr>
          <w:rFonts w:ascii="Calibri" w:hAnsi="Calibri"/>
        </w:rPr>
      </w:pPr>
      <w:r w:rsidRPr="00DC6D61">
        <w:rPr>
          <w:rFonts w:ascii="Calibri" w:hAnsi="Calibri"/>
        </w:rPr>
        <w:t>Parties</w:t>
      </w:r>
    </w:p>
    <w:p w14:paraId="4A47FAFD" w14:textId="77777777" w:rsidR="00DC6D61" w:rsidRPr="00DC6D61" w:rsidRDefault="007D20B8" w:rsidP="00DC6D61">
      <w:pPr>
        <w:pStyle w:val="Parties"/>
        <w:rPr>
          <w:szCs w:val="22"/>
        </w:rPr>
      </w:pPr>
      <w:r w:rsidRPr="00DC6D61">
        <w:rPr>
          <w:szCs w:val="22"/>
        </w:rPr>
        <w:t>The person whose name and address is</w:t>
      </w:r>
      <w:r w:rsidR="00DC6D61" w:rsidRPr="00DC6D61">
        <w:rPr>
          <w:szCs w:val="22"/>
        </w:rPr>
        <w:t xml:space="preserve"> set out </w:t>
      </w:r>
      <w:r w:rsidR="00DC6D61" w:rsidRPr="001D03E8">
        <w:rPr>
          <w:szCs w:val="22"/>
        </w:rPr>
        <w:t xml:space="preserve">in </w:t>
      </w:r>
      <w:r w:rsidR="00DC6D61" w:rsidRPr="001D03E8">
        <w:rPr>
          <w:szCs w:val="22"/>
        </w:rPr>
        <w:fldChar w:fldCharType="begin"/>
      </w:r>
      <w:r w:rsidR="00DC6D61" w:rsidRPr="001D03E8">
        <w:rPr>
          <w:szCs w:val="22"/>
        </w:rPr>
        <w:instrText>REF a535130 \h \w \n</w:instrText>
      </w:r>
      <w:r w:rsidRPr="001D03E8">
        <w:rPr>
          <w:szCs w:val="22"/>
        </w:rPr>
        <w:instrText xml:space="preserve"> \* MERGEFORMAT </w:instrText>
      </w:r>
      <w:r w:rsidR="00DC6D61" w:rsidRPr="001D03E8">
        <w:rPr>
          <w:szCs w:val="22"/>
        </w:rPr>
      </w:r>
      <w:r w:rsidR="00DC6D61" w:rsidRPr="001D03E8">
        <w:rPr>
          <w:szCs w:val="22"/>
        </w:rPr>
        <w:fldChar w:fldCharType="separate"/>
      </w:r>
      <w:r w:rsidR="002B65AC" w:rsidRPr="001D03E8">
        <w:rPr>
          <w:szCs w:val="22"/>
        </w:rPr>
        <w:t>Part 1</w:t>
      </w:r>
      <w:r w:rsidR="00DC6D61" w:rsidRPr="001D03E8">
        <w:rPr>
          <w:szCs w:val="22"/>
        </w:rPr>
        <w:fldChar w:fldCharType="end"/>
      </w:r>
      <w:r w:rsidR="00DC6D61" w:rsidRPr="001D03E8">
        <w:rPr>
          <w:szCs w:val="22"/>
        </w:rPr>
        <w:t xml:space="preserve"> of </w:t>
      </w:r>
      <w:r w:rsidR="00DC6D61" w:rsidRPr="001D03E8">
        <w:rPr>
          <w:szCs w:val="22"/>
        </w:rPr>
        <w:fldChar w:fldCharType="begin"/>
      </w:r>
      <w:r w:rsidR="00DC6D61" w:rsidRPr="001D03E8">
        <w:rPr>
          <w:szCs w:val="22"/>
        </w:rPr>
        <w:instrText>REF a114201 \h \w \n</w:instrText>
      </w:r>
      <w:r w:rsidRPr="001D03E8">
        <w:rPr>
          <w:szCs w:val="22"/>
        </w:rPr>
        <w:instrText xml:space="preserve"> \* MERGEFORMAT </w:instrText>
      </w:r>
      <w:r w:rsidR="00DC6D61" w:rsidRPr="001D03E8">
        <w:rPr>
          <w:szCs w:val="22"/>
        </w:rPr>
      </w:r>
      <w:r w:rsidR="00DC6D61" w:rsidRPr="001D03E8">
        <w:rPr>
          <w:szCs w:val="22"/>
        </w:rPr>
        <w:fldChar w:fldCharType="separate"/>
      </w:r>
      <w:r w:rsidR="002B65AC" w:rsidRPr="001D03E8">
        <w:rPr>
          <w:szCs w:val="22"/>
        </w:rPr>
        <w:t>Schedule 1</w:t>
      </w:r>
      <w:r w:rsidR="00DC6D61" w:rsidRPr="001D03E8">
        <w:rPr>
          <w:szCs w:val="22"/>
        </w:rPr>
        <w:fldChar w:fldCharType="end"/>
      </w:r>
      <w:r w:rsidR="00DC6D61" w:rsidRPr="00DC6D61">
        <w:rPr>
          <w:szCs w:val="22"/>
        </w:rPr>
        <w:t xml:space="preserve">  (</w:t>
      </w:r>
      <w:r w:rsidRPr="00DC6D61">
        <w:rPr>
          <w:rStyle w:val="DefTerm"/>
          <w:rFonts w:ascii="Calibri" w:hAnsi="Calibri"/>
          <w:szCs w:val="22"/>
        </w:rPr>
        <w:t>Investor</w:t>
      </w:r>
      <w:r w:rsidR="00DC6D61" w:rsidRPr="00DC6D61">
        <w:rPr>
          <w:szCs w:val="22"/>
        </w:rPr>
        <w:t xml:space="preserve">) </w:t>
      </w:r>
    </w:p>
    <w:p w14:paraId="46748F28" w14:textId="77777777" w:rsidR="00DC6D61" w:rsidRPr="00DC6D61" w:rsidRDefault="00DC6D61" w:rsidP="00DC6D61">
      <w:pPr>
        <w:pStyle w:val="Parties"/>
        <w:rPr>
          <w:szCs w:val="22"/>
        </w:rPr>
      </w:pPr>
      <w:r w:rsidRPr="00DC6D61">
        <w:rPr>
          <w:szCs w:val="22"/>
        </w:rPr>
        <w:t xml:space="preserve">The persons whose names and addresses are set out </w:t>
      </w:r>
      <w:r w:rsidRPr="001D03E8">
        <w:rPr>
          <w:szCs w:val="22"/>
        </w:rPr>
        <w:t xml:space="preserve">in </w:t>
      </w:r>
      <w:r w:rsidRPr="001D03E8">
        <w:rPr>
          <w:szCs w:val="22"/>
        </w:rPr>
        <w:fldChar w:fldCharType="begin"/>
      </w:r>
      <w:r w:rsidRPr="001D03E8">
        <w:rPr>
          <w:szCs w:val="22"/>
        </w:rPr>
        <w:instrText>REF a354499 \h \w \n</w:instrText>
      </w:r>
      <w:r w:rsidR="007D20B8" w:rsidRPr="001D03E8">
        <w:rPr>
          <w:szCs w:val="22"/>
        </w:rPr>
        <w:instrText xml:space="preserve"> \* MERGEFORMAT </w:instrText>
      </w:r>
      <w:r w:rsidRPr="001D03E8">
        <w:rPr>
          <w:szCs w:val="22"/>
        </w:rPr>
      </w:r>
      <w:r w:rsidRPr="001D03E8">
        <w:rPr>
          <w:szCs w:val="22"/>
        </w:rPr>
        <w:fldChar w:fldCharType="separate"/>
      </w:r>
      <w:r w:rsidR="002B65AC" w:rsidRPr="001D03E8">
        <w:rPr>
          <w:szCs w:val="22"/>
        </w:rPr>
        <w:t>Part 2</w:t>
      </w:r>
      <w:r w:rsidRPr="001D03E8">
        <w:rPr>
          <w:szCs w:val="22"/>
        </w:rPr>
        <w:fldChar w:fldCharType="end"/>
      </w:r>
      <w:r w:rsidRPr="001D03E8">
        <w:rPr>
          <w:szCs w:val="22"/>
        </w:rPr>
        <w:t xml:space="preserve"> of </w:t>
      </w:r>
      <w:r w:rsidRPr="001D03E8">
        <w:rPr>
          <w:szCs w:val="22"/>
        </w:rPr>
        <w:fldChar w:fldCharType="begin"/>
      </w:r>
      <w:r w:rsidRPr="001D03E8">
        <w:rPr>
          <w:szCs w:val="22"/>
        </w:rPr>
        <w:instrText>REF a114201 \h \w \n</w:instrText>
      </w:r>
      <w:r w:rsidR="007D20B8" w:rsidRPr="001D03E8">
        <w:rPr>
          <w:szCs w:val="22"/>
        </w:rPr>
        <w:instrText xml:space="preserve"> \* MERGEFORMAT </w:instrText>
      </w:r>
      <w:r w:rsidRPr="001D03E8">
        <w:rPr>
          <w:szCs w:val="22"/>
        </w:rPr>
      </w:r>
      <w:r w:rsidRPr="001D03E8">
        <w:rPr>
          <w:szCs w:val="22"/>
        </w:rPr>
        <w:fldChar w:fldCharType="separate"/>
      </w:r>
      <w:r w:rsidR="002B65AC" w:rsidRPr="001D03E8">
        <w:rPr>
          <w:szCs w:val="22"/>
        </w:rPr>
        <w:t>Schedule 1</w:t>
      </w:r>
      <w:r w:rsidRPr="001D03E8">
        <w:rPr>
          <w:szCs w:val="22"/>
        </w:rPr>
        <w:fldChar w:fldCharType="end"/>
      </w:r>
      <w:r w:rsidRPr="00DC6D61">
        <w:rPr>
          <w:szCs w:val="22"/>
        </w:rPr>
        <w:t>.  (</w:t>
      </w:r>
      <w:r w:rsidRPr="00DC6D61">
        <w:rPr>
          <w:rStyle w:val="DefTerm"/>
          <w:rFonts w:ascii="Calibri" w:hAnsi="Calibri"/>
          <w:szCs w:val="22"/>
        </w:rPr>
        <w:t>Founders</w:t>
      </w:r>
      <w:r w:rsidRPr="00DC6D61">
        <w:rPr>
          <w:szCs w:val="22"/>
        </w:rPr>
        <w:t xml:space="preserve">) </w:t>
      </w:r>
    </w:p>
    <w:p w14:paraId="00A4C3CF" w14:textId="0617F397" w:rsidR="00DC6D61" w:rsidRPr="00DC6D61" w:rsidRDefault="007D20B8" w:rsidP="00DC6D61">
      <w:pPr>
        <w:pStyle w:val="Parties"/>
        <w:rPr>
          <w:szCs w:val="22"/>
        </w:rPr>
      </w:pPr>
      <w:r w:rsidRPr="00C8685E">
        <w:rPr>
          <w:b/>
          <w:szCs w:val="22"/>
        </w:rPr>
        <w:t>ARAM CAPITAL LIMITED</w:t>
      </w:r>
      <w:r w:rsidR="00DC6D61" w:rsidRPr="00DC6D61">
        <w:rPr>
          <w:szCs w:val="22"/>
        </w:rPr>
        <w:t xml:space="preserve"> incorporated and registered in </w:t>
      </w:r>
      <w:r w:rsidRPr="00DC6D61">
        <w:rPr>
          <w:szCs w:val="22"/>
        </w:rPr>
        <w:t>the British Virgin Islands with company number 1874072</w:t>
      </w:r>
      <w:r w:rsidR="00DC6D61" w:rsidRPr="00DC6D61">
        <w:rPr>
          <w:szCs w:val="22"/>
        </w:rPr>
        <w:t xml:space="preserve"> whose registered office </w:t>
      </w:r>
      <w:r w:rsidRPr="00DC6D61">
        <w:rPr>
          <w:szCs w:val="22"/>
        </w:rPr>
        <w:t xml:space="preserve">is at </w:t>
      </w:r>
      <w:r w:rsidR="00960AE7">
        <w:rPr>
          <w:szCs w:val="22"/>
        </w:rPr>
        <w:t xml:space="preserve">171 Main Street, Road Town. Tortola, VG1110 </w:t>
      </w:r>
      <w:r w:rsidR="00DC6D61" w:rsidRPr="00DC6D61">
        <w:rPr>
          <w:szCs w:val="22"/>
        </w:rPr>
        <w:t>(</w:t>
      </w:r>
      <w:r w:rsidR="00DC6D61" w:rsidRPr="00DC6D61">
        <w:rPr>
          <w:rStyle w:val="DefTerm"/>
          <w:rFonts w:ascii="Calibri" w:hAnsi="Calibri"/>
          <w:szCs w:val="22"/>
        </w:rPr>
        <w:t>Company</w:t>
      </w:r>
      <w:r w:rsidRPr="00DC6D61">
        <w:rPr>
          <w:szCs w:val="22"/>
        </w:rPr>
        <w:t>)</w:t>
      </w:r>
    </w:p>
    <w:p w14:paraId="4BF87A3F" w14:textId="77777777" w:rsidR="007D20B8" w:rsidRDefault="008652C6" w:rsidP="007D20B8">
      <w:pPr>
        <w:pStyle w:val="Parties"/>
        <w:rPr>
          <w:szCs w:val="22"/>
        </w:rPr>
      </w:pPr>
      <w:r>
        <w:rPr>
          <w:b/>
          <w:szCs w:val="22"/>
        </w:rPr>
        <w:t>FINE HOLDINGS</w:t>
      </w:r>
      <w:r w:rsidR="007D20B8" w:rsidRPr="00C8685E">
        <w:rPr>
          <w:b/>
          <w:szCs w:val="22"/>
        </w:rPr>
        <w:t xml:space="preserve"> </w:t>
      </w:r>
      <w:r w:rsidR="00386240">
        <w:rPr>
          <w:b/>
          <w:szCs w:val="22"/>
        </w:rPr>
        <w:t>– LUX CO</w:t>
      </w:r>
      <w:r w:rsidR="007D20B8" w:rsidRPr="00DC6D61">
        <w:rPr>
          <w:szCs w:val="22"/>
        </w:rPr>
        <w:t xml:space="preserve"> incorporated in Luxemburg with company number </w:t>
      </w:r>
      <w:r w:rsidR="00D636FF">
        <w:rPr>
          <w:szCs w:val="22"/>
        </w:rPr>
        <w:t>B236308</w:t>
      </w:r>
      <w:r w:rsidR="007D20B8" w:rsidRPr="00DC6D61">
        <w:rPr>
          <w:szCs w:val="22"/>
        </w:rPr>
        <w:t xml:space="preserve"> whose registered office is at </w:t>
      </w:r>
      <w:r w:rsidR="00960AE7">
        <w:rPr>
          <w:szCs w:val="22"/>
        </w:rPr>
        <w:t xml:space="preserve">16A, Avenue de la </w:t>
      </w:r>
      <w:proofErr w:type="spellStart"/>
      <w:r w:rsidR="00960AE7">
        <w:rPr>
          <w:szCs w:val="22"/>
        </w:rPr>
        <w:t>Liberte</w:t>
      </w:r>
      <w:proofErr w:type="spellEnd"/>
      <w:r w:rsidR="00960AE7">
        <w:rPr>
          <w:szCs w:val="22"/>
        </w:rPr>
        <w:t>, L-1930, Luxembourg</w:t>
      </w:r>
      <w:r w:rsidR="00960AE7" w:rsidRPr="00DC6D61">
        <w:rPr>
          <w:b/>
          <w:szCs w:val="22"/>
        </w:rPr>
        <w:t xml:space="preserve"> </w:t>
      </w:r>
      <w:r w:rsidR="00386240">
        <w:rPr>
          <w:b/>
          <w:szCs w:val="22"/>
        </w:rPr>
        <w:t>(</w:t>
      </w:r>
      <w:r w:rsidR="007D20B8" w:rsidRPr="00DC6D61">
        <w:rPr>
          <w:b/>
          <w:szCs w:val="22"/>
        </w:rPr>
        <w:t>Fine</w:t>
      </w:r>
      <w:r w:rsidR="00386240">
        <w:rPr>
          <w:b/>
          <w:szCs w:val="22"/>
        </w:rPr>
        <w:t xml:space="preserve"> Holdings</w:t>
      </w:r>
      <w:r w:rsidR="007D20B8" w:rsidRPr="00DC6D61">
        <w:rPr>
          <w:szCs w:val="22"/>
        </w:rPr>
        <w:t xml:space="preserve">) </w:t>
      </w:r>
    </w:p>
    <w:p w14:paraId="16769683" w14:textId="77777777" w:rsidR="00DC6D61" w:rsidRPr="00DC6D61" w:rsidRDefault="00DC6D61" w:rsidP="00DC6D61">
      <w:pPr>
        <w:pStyle w:val="DescriptiveHeading"/>
        <w:rPr>
          <w:rFonts w:ascii="Calibri" w:hAnsi="Calibri"/>
        </w:rPr>
      </w:pPr>
      <w:r w:rsidRPr="00DC6D61">
        <w:rPr>
          <w:rFonts w:ascii="Calibri" w:hAnsi="Calibri"/>
        </w:rPr>
        <w:t>BACKGROUND</w:t>
      </w:r>
    </w:p>
    <w:p w14:paraId="5E78D370" w14:textId="77777777" w:rsidR="00DC6D61" w:rsidRPr="00DC6D61" w:rsidRDefault="00DC6D61" w:rsidP="00DC6D61">
      <w:pPr>
        <w:pStyle w:val="Background"/>
        <w:rPr>
          <w:szCs w:val="22"/>
        </w:rPr>
      </w:pPr>
      <w:bookmarkStart w:id="0" w:name="a247338"/>
      <w:r w:rsidRPr="00DC6D61">
        <w:rPr>
          <w:szCs w:val="22"/>
        </w:rPr>
        <w:t xml:space="preserve">The Company is a private company limited by shares, brief particulars of which are set out in </w:t>
      </w:r>
      <w:r w:rsidRPr="00960AE7">
        <w:rPr>
          <w:szCs w:val="22"/>
        </w:rPr>
        <w:fldChar w:fldCharType="begin"/>
      </w:r>
      <w:r w:rsidRPr="00960AE7">
        <w:rPr>
          <w:szCs w:val="22"/>
        </w:rPr>
        <w:instrText>REF a437669 \h \w \n</w:instrText>
      </w:r>
      <w:r w:rsidR="007D20B8" w:rsidRPr="00960AE7">
        <w:rPr>
          <w:szCs w:val="22"/>
        </w:rPr>
        <w:instrText xml:space="preserve"> \* MERGEFORMAT </w:instrText>
      </w:r>
      <w:r w:rsidRPr="00960AE7">
        <w:rPr>
          <w:szCs w:val="22"/>
        </w:rPr>
      </w:r>
      <w:r w:rsidRPr="00960AE7">
        <w:rPr>
          <w:szCs w:val="22"/>
        </w:rPr>
        <w:fldChar w:fldCharType="separate"/>
      </w:r>
      <w:r w:rsidR="002B65AC" w:rsidRPr="00960AE7">
        <w:rPr>
          <w:szCs w:val="22"/>
        </w:rPr>
        <w:t>Part 1</w:t>
      </w:r>
      <w:r w:rsidRPr="00960AE7">
        <w:rPr>
          <w:szCs w:val="22"/>
        </w:rPr>
        <w:fldChar w:fldCharType="end"/>
      </w:r>
      <w:r w:rsidRPr="00960AE7">
        <w:rPr>
          <w:szCs w:val="22"/>
        </w:rPr>
        <w:t xml:space="preserve"> of </w:t>
      </w:r>
      <w:r w:rsidRPr="00960AE7">
        <w:rPr>
          <w:szCs w:val="22"/>
        </w:rPr>
        <w:fldChar w:fldCharType="begin"/>
      </w:r>
      <w:r w:rsidRPr="00960AE7">
        <w:rPr>
          <w:szCs w:val="22"/>
        </w:rPr>
        <w:instrText>REF a452926 \h \w \n</w:instrText>
      </w:r>
      <w:r w:rsidR="007D20B8" w:rsidRPr="00960AE7">
        <w:rPr>
          <w:szCs w:val="22"/>
        </w:rPr>
        <w:instrText xml:space="preserve"> \* MERGEFORMAT </w:instrText>
      </w:r>
      <w:r w:rsidRPr="00960AE7">
        <w:rPr>
          <w:szCs w:val="22"/>
        </w:rPr>
      </w:r>
      <w:r w:rsidRPr="00960AE7">
        <w:rPr>
          <w:szCs w:val="22"/>
        </w:rPr>
        <w:fldChar w:fldCharType="separate"/>
      </w:r>
      <w:r w:rsidR="002B65AC" w:rsidRPr="00960AE7">
        <w:rPr>
          <w:szCs w:val="22"/>
        </w:rPr>
        <w:t>Schedule 2</w:t>
      </w:r>
      <w:r w:rsidRPr="00960AE7">
        <w:rPr>
          <w:szCs w:val="22"/>
        </w:rPr>
        <w:fldChar w:fldCharType="end"/>
      </w:r>
      <w:r w:rsidRPr="00DC6D61">
        <w:rPr>
          <w:szCs w:val="22"/>
        </w:rPr>
        <w:t>.</w:t>
      </w:r>
      <w:bookmarkEnd w:id="0"/>
    </w:p>
    <w:p w14:paraId="5C546433" w14:textId="77777777" w:rsidR="006E6BE8" w:rsidRPr="00960AE7" w:rsidRDefault="00386240" w:rsidP="00DC6D61">
      <w:pPr>
        <w:pStyle w:val="Background"/>
        <w:rPr>
          <w:szCs w:val="22"/>
        </w:rPr>
      </w:pPr>
      <w:r>
        <w:rPr>
          <w:szCs w:val="22"/>
        </w:rPr>
        <w:t>Fine Holdings</w:t>
      </w:r>
      <w:r w:rsidR="00A20C52">
        <w:rPr>
          <w:szCs w:val="22"/>
        </w:rPr>
        <w:t xml:space="preserve"> is a private company limited</w:t>
      </w:r>
      <w:r w:rsidR="006E6BE8" w:rsidRPr="006E6BE8">
        <w:rPr>
          <w:szCs w:val="22"/>
        </w:rPr>
        <w:t xml:space="preserve"> by shares, brief particulars of which are set out in </w:t>
      </w:r>
      <w:r w:rsidR="006E6BE8">
        <w:rPr>
          <w:szCs w:val="22"/>
        </w:rPr>
        <w:t xml:space="preserve">Part 2 </w:t>
      </w:r>
      <w:r w:rsidR="006E6BE8" w:rsidRPr="006E6BE8">
        <w:rPr>
          <w:szCs w:val="22"/>
        </w:rPr>
        <w:t xml:space="preserve">of </w:t>
      </w:r>
      <w:r w:rsidR="006E6BE8" w:rsidRPr="00960AE7">
        <w:rPr>
          <w:szCs w:val="22"/>
        </w:rPr>
        <w:fldChar w:fldCharType="begin"/>
      </w:r>
      <w:r w:rsidR="006E6BE8" w:rsidRPr="00960AE7">
        <w:rPr>
          <w:szCs w:val="22"/>
        </w:rPr>
        <w:instrText xml:space="preserve">REF a452926 \h \w \n \* MERGEFORMAT </w:instrText>
      </w:r>
      <w:r w:rsidR="006E6BE8" w:rsidRPr="00960AE7">
        <w:rPr>
          <w:szCs w:val="22"/>
        </w:rPr>
      </w:r>
      <w:r w:rsidR="006E6BE8" w:rsidRPr="00960AE7">
        <w:rPr>
          <w:szCs w:val="22"/>
        </w:rPr>
        <w:fldChar w:fldCharType="separate"/>
      </w:r>
      <w:r w:rsidR="002B65AC" w:rsidRPr="00960AE7">
        <w:rPr>
          <w:szCs w:val="22"/>
        </w:rPr>
        <w:t>Schedule 2</w:t>
      </w:r>
      <w:r w:rsidR="006E6BE8" w:rsidRPr="00960AE7">
        <w:rPr>
          <w:szCs w:val="22"/>
        </w:rPr>
        <w:fldChar w:fldCharType="end"/>
      </w:r>
    </w:p>
    <w:p w14:paraId="2C94E3AD" w14:textId="77777777" w:rsidR="008652C6" w:rsidRDefault="008652C6" w:rsidP="00C8685E">
      <w:pPr>
        <w:pStyle w:val="Background"/>
        <w:rPr>
          <w:szCs w:val="22"/>
        </w:rPr>
      </w:pPr>
      <w:r>
        <w:rPr>
          <w:szCs w:val="22"/>
        </w:rPr>
        <w:t xml:space="preserve">The Company is the ultimate parent company of </w:t>
      </w:r>
      <w:proofErr w:type="spellStart"/>
      <w:r>
        <w:rPr>
          <w:szCs w:val="22"/>
        </w:rPr>
        <w:t>Glacier</w:t>
      </w:r>
      <w:r w:rsidR="00960AE7">
        <w:rPr>
          <w:szCs w:val="22"/>
        </w:rPr>
        <w:t>m</w:t>
      </w:r>
      <w:r>
        <w:rPr>
          <w:szCs w:val="22"/>
        </w:rPr>
        <w:t>otion</w:t>
      </w:r>
      <w:proofErr w:type="spellEnd"/>
      <w:r w:rsidR="00960AE7">
        <w:rPr>
          <w:szCs w:val="22"/>
        </w:rPr>
        <w:t xml:space="preserve"> S.A</w:t>
      </w:r>
      <w:r>
        <w:rPr>
          <w:szCs w:val="22"/>
        </w:rPr>
        <w:t xml:space="preserve"> </w:t>
      </w:r>
      <w:r w:rsidR="00386240">
        <w:rPr>
          <w:szCs w:val="22"/>
        </w:rPr>
        <w:t>whereby pursuant to a contract entered</w:t>
      </w:r>
      <w:r>
        <w:rPr>
          <w:szCs w:val="22"/>
        </w:rPr>
        <w:t xml:space="preserve"> </w:t>
      </w:r>
      <w:r w:rsidR="00386240">
        <w:rPr>
          <w:szCs w:val="22"/>
        </w:rPr>
        <w:t xml:space="preserve">on 11 June 2019 will </w:t>
      </w:r>
      <w:r>
        <w:rPr>
          <w:szCs w:val="22"/>
        </w:rPr>
        <w:t>acquire the Property (as hereinafter defined).</w:t>
      </w:r>
    </w:p>
    <w:p w14:paraId="66EF33F2" w14:textId="77777777" w:rsidR="008652C6" w:rsidRDefault="008652C6" w:rsidP="00C8685E">
      <w:pPr>
        <w:pStyle w:val="Background"/>
        <w:rPr>
          <w:szCs w:val="22"/>
        </w:rPr>
      </w:pPr>
      <w:r>
        <w:rPr>
          <w:szCs w:val="22"/>
        </w:rPr>
        <w:t xml:space="preserve">Glacier Motion plans to </w:t>
      </w:r>
      <w:r w:rsidR="00DE60CE">
        <w:rPr>
          <w:szCs w:val="22"/>
        </w:rPr>
        <w:t xml:space="preserve">undertake the Project </w:t>
      </w:r>
      <w:r w:rsidR="00A35797">
        <w:rPr>
          <w:szCs w:val="22"/>
        </w:rPr>
        <w:t>(as hereafter defined)</w:t>
      </w:r>
      <w:r w:rsidR="00DE60CE">
        <w:rPr>
          <w:szCs w:val="22"/>
        </w:rPr>
        <w:t xml:space="preserve"> to </w:t>
      </w:r>
      <w:r>
        <w:rPr>
          <w:szCs w:val="22"/>
        </w:rPr>
        <w:t>re-develop the Property to include the construction of residential apartments and retail property at the Property</w:t>
      </w:r>
    </w:p>
    <w:p w14:paraId="01A8AB6D" w14:textId="77777777" w:rsidR="00392717" w:rsidRDefault="00392717" w:rsidP="00C8685E">
      <w:pPr>
        <w:pStyle w:val="Background"/>
        <w:rPr>
          <w:szCs w:val="22"/>
        </w:rPr>
      </w:pPr>
      <w:r>
        <w:rPr>
          <w:szCs w:val="22"/>
        </w:rPr>
        <w:t>The Company is seeking an Aggregate Investment Sum (as hereinafter defined) to assist in the</w:t>
      </w:r>
      <w:r w:rsidR="00386240">
        <w:rPr>
          <w:szCs w:val="22"/>
        </w:rPr>
        <w:t xml:space="preserve"> </w:t>
      </w:r>
      <w:r w:rsidR="00DE60CE">
        <w:rPr>
          <w:szCs w:val="22"/>
        </w:rPr>
        <w:t>Project to be undertaken by GM</w:t>
      </w:r>
      <w:r>
        <w:rPr>
          <w:szCs w:val="22"/>
        </w:rPr>
        <w:t>.</w:t>
      </w:r>
    </w:p>
    <w:p w14:paraId="3EC52647" w14:textId="6EBFF6B3" w:rsidR="00C8685E" w:rsidRPr="00C8685E" w:rsidRDefault="006E6BE8" w:rsidP="00C8685E">
      <w:pPr>
        <w:pStyle w:val="Background"/>
        <w:rPr>
          <w:szCs w:val="22"/>
        </w:rPr>
      </w:pPr>
      <w:r w:rsidRPr="00DC6D61">
        <w:rPr>
          <w:szCs w:val="22"/>
        </w:rPr>
        <w:t xml:space="preserve">The Investor has agreed to invest the </w:t>
      </w:r>
      <w:r w:rsidR="00DE60CE">
        <w:rPr>
          <w:szCs w:val="22"/>
        </w:rPr>
        <w:t>P</w:t>
      </w:r>
      <w:r w:rsidRPr="00DC6D61">
        <w:rPr>
          <w:szCs w:val="22"/>
        </w:rPr>
        <w:t>rincipal</w:t>
      </w:r>
      <w:r w:rsidR="00DE60CE">
        <w:rPr>
          <w:szCs w:val="22"/>
        </w:rPr>
        <w:t xml:space="preserve"> Investment</w:t>
      </w:r>
      <w:r w:rsidRPr="00DC6D61">
        <w:rPr>
          <w:szCs w:val="22"/>
        </w:rPr>
        <w:t xml:space="preserve"> sum of </w:t>
      </w:r>
      <w:r w:rsidR="004521CF">
        <w:rPr>
          <w:szCs w:val="22"/>
        </w:rPr>
        <w:t>€</w:t>
      </w:r>
      <w:r w:rsidR="005F62FC" w:rsidRPr="005F62FC">
        <w:rPr>
          <w:szCs w:val="22"/>
        </w:rPr>
        <w:t>49</w:t>
      </w:r>
      <w:r w:rsidR="005F62FC">
        <w:rPr>
          <w:szCs w:val="22"/>
        </w:rPr>
        <w:t>,</w:t>
      </w:r>
      <w:bookmarkStart w:id="1" w:name="_GoBack"/>
      <w:bookmarkEnd w:id="1"/>
      <w:r w:rsidR="005F62FC" w:rsidRPr="005F62FC">
        <w:rPr>
          <w:szCs w:val="22"/>
        </w:rPr>
        <w:t>128</w:t>
      </w:r>
      <w:r w:rsidR="005F62FC">
        <w:rPr>
          <w:szCs w:val="22"/>
        </w:rPr>
        <w:t xml:space="preserve"> </w:t>
      </w:r>
      <w:r w:rsidRPr="00DC6D61">
        <w:rPr>
          <w:szCs w:val="22"/>
        </w:rPr>
        <w:t>into the Comp</w:t>
      </w:r>
      <w:r w:rsidR="008652C6">
        <w:rPr>
          <w:szCs w:val="22"/>
        </w:rPr>
        <w:t>any</w:t>
      </w:r>
      <w:r w:rsidR="00DE60CE">
        <w:rPr>
          <w:szCs w:val="22"/>
        </w:rPr>
        <w:t xml:space="preserve">, with such amount </w:t>
      </w:r>
      <w:r w:rsidR="008652C6">
        <w:rPr>
          <w:szCs w:val="22"/>
        </w:rPr>
        <w:t xml:space="preserve">to be </w:t>
      </w:r>
      <w:r w:rsidR="00DE60CE">
        <w:rPr>
          <w:szCs w:val="22"/>
        </w:rPr>
        <w:t xml:space="preserve">part of the Aggregate Investment Sum </w:t>
      </w:r>
      <w:r w:rsidR="008652C6">
        <w:rPr>
          <w:szCs w:val="22"/>
        </w:rPr>
        <w:t>allocated to the P</w:t>
      </w:r>
      <w:r w:rsidRPr="00DC6D61">
        <w:rPr>
          <w:szCs w:val="22"/>
        </w:rPr>
        <w:t xml:space="preserve">roject </w:t>
      </w:r>
      <w:r w:rsidR="00C8685E">
        <w:rPr>
          <w:szCs w:val="22"/>
        </w:rPr>
        <w:t>.</w:t>
      </w:r>
      <w:r w:rsidR="00433DD0">
        <w:rPr>
          <w:szCs w:val="22"/>
        </w:rPr>
        <w:t xml:space="preserve">  </w:t>
      </w:r>
    </w:p>
    <w:p w14:paraId="2C5A35AE" w14:textId="77777777" w:rsidR="00DC6D61" w:rsidRPr="00DC6D61" w:rsidRDefault="00DC6D61" w:rsidP="00DC6D61">
      <w:pPr>
        <w:pStyle w:val="DescriptiveHeading"/>
        <w:rPr>
          <w:rFonts w:ascii="Calibri" w:hAnsi="Calibri"/>
        </w:rPr>
      </w:pPr>
      <w:r w:rsidRPr="00DC6D61">
        <w:rPr>
          <w:rFonts w:ascii="Calibri" w:hAnsi="Calibri"/>
        </w:rPr>
        <w:t>Agreed terms</w:t>
      </w:r>
      <w:r w:rsidR="00433DD0">
        <w:rPr>
          <w:rFonts w:ascii="Calibri" w:hAnsi="Calibri"/>
        </w:rPr>
        <w:t xml:space="preserve"> </w:t>
      </w:r>
    </w:p>
    <w:p w14:paraId="1BCA28E2" w14:textId="77777777" w:rsidR="00DC6D61" w:rsidRPr="00DC6D61" w:rsidRDefault="00DC6D61" w:rsidP="00DC6D61">
      <w:pPr>
        <w:pStyle w:val="TitleClause"/>
        <w:rPr>
          <w:szCs w:val="22"/>
        </w:rPr>
      </w:pPr>
      <w:r w:rsidRPr="00DC6D61">
        <w:rPr>
          <w:szCs w:val="22"/>
        </w:rPr>
        <w:fldChar w:fldCharType="begin"/>
      </w:r>
      <w:r w:rsidRPr="00DC6D61">
        <w:rPr>
          <w:szCs w:val="22"/>
        </w:rPr>
        <w:instrText>TC "1. Interpretation" \l 1</w:instrText>
      </w:r>
      <w:r w:rsidRPr="00DC6D61">
        <w:rPr>
          <w:szCs w:val="22"/>
        </w:rPr>
        <w:fldChar w:fldCharType="end"/>
      </w:r>
      <w:bookmarkStart w:id="2" w:name="a201616"/>
      <w:bookmarkStart w:id="3" w:name="_Toc256000000"/>
      <w:r w:rsidRPr="00DC6D61">
        <w:rPr>
          <w:szCs w:val="22"/>
        </w:rPr>
        <w:t>Interpretation</w:t>
      </w:r>
      <w:bookmarkEnd w:id="2"/>
      <w:bookmarkEnd w:id="3"/>
    </w:p>
    <w:p w14:paraId="358F2352" w14:textId="77777777" w:rsidR="00DC6D61" w:rsidRPr="00DC6D61" w:rsidRDefault="00DC6D61" w:rsidP="00DC6D61">
      <w:pPr>
        <w:pStyle w:val="Untitledsubclause1"/>
        <w:rPr>
          <w:szCs w:val="22"/>
        </w:rPr>
      </w:pPr>
      <w:bookmarkStart w:id="4" w:name="a593283"/>
      <w:r w:rsidRPr="00DC6D61">
        <w:rPr>
          <w:szCs w:val="22"/>
        </w:rPr>
        <w:t>The following definitions and rules of interpretation apply in this agreement.</w:t>
      </w:r>
      <w:bookmarkEnd w:id="4"/>
    </w:p>
    <w:p w14:paraId="4F4AC3A0" w14:textId="77777777" w:rsidR="00392717" w:rsidRPr="001D03E8" w:rsidRDefault="00DC6D61" w:rsidP="00DC6D61">
      <w:pPr>
        <w:pStyle w:val="DefinedTermPara"/>
        <w:spacing w:before="60"/>
        <w:rPr>
          <w:rFonts w:eastAsia="Arial"/>
          <w:b/>
          <w:szCs w:val="22"/>
        </w:rPr>
      </w:pPr>
      <w:bookmarkStart w:id="5" w:name="a929179"/>
      <w:r w:rsidRPr="00DC6D61">
        <w:rPr>
          <w:rStyle w:val="DefTerm"/>
          <w:rFonts w:ascii="Calibri" w:hAnsi="Calibri"/>
          <w:szCs w:val="22"/>
        </w:rPr>
        <w:t>Accounts</w:t>
      </w:r>
      <w:r w:rsidR="00D42F9E" w:rsidRPr="00DC6D61">
        <w:rPr>
          <w:szCs w:val="22"/>
        </w:rPr>
        <w:t xml:space="preserve">: the </w:t>
      </w:r>
      <w:r w:rsidRPr="00DC6D61">
        <w:rPr>
          <w:szCs w:val="22"/>
        </w:rPr>
        <w:t>balance sheet and profit a</w:t>
      </w:r>
      <w:r w:rsidR="006E6BE8" w:rsidRPr="00DC6D61">
        <w:rPr>
          <w:szCs w:val="22"/>
        </w:rPr>
        <w:t>nd loss account of the Company and its Subsidiaries at their respective year end</w:t>
      </w:r>
      <w:r w:rsidR="00392717">
        <w:rPr>
          <w:szCs w:val="22"/>
        </w:rPr>
        <w:t xml:space="preserve"> in relation to the Project</w:t>
      </w:r>
      <w:r w:rsidR="009D0979">
        <w:rPr>
          <w:szCs w:val="22"/>
        </w:rPr>
        <w:t xml:space="preserve"> only</w:t>
      </w:r>
      <w:r w:rsidR="006E6BE8" w:rsidRPr="00DC6D61">
        <w:rPr>
          <w:szCs w:val="22"/>
        </w:rPr>
        <w:t>.</w:t>
      </w:r>
    </w:p>
    <w:p w14:paraId="023FABDE" w14:textId="77777777" w:rsidR="00DC6D61" w:rsidRPr="00DC6D61" w:rsidRDefault="00392717" w:rsidP="00DC6D61">
      <w:pPr>
        <w:pStyle w:val="DefinedTermPara"/>
        <w:spacing w:before="60"/>
        <w:rPr>
          <w:rStyle w:val="DefTerm"/>
          <w:rFonts w:ascii="Calibri" w:hAnsi="Calibri"/>
          <w:szCs w:val="22"/>
        </w:rPr>
      </w:pPr>
      <w:r w:rsidRPr="001D03E8">
        <w:rPr>
          <w:b/>
          <w:szCs w:val="22"/>
        </w:rPr>
        <w:lastRenderedPageBreak/>
        <w:t>Aggregate Investment Sum</w:t>
      </w:r>
      <w:r>
        <w:rPr>
          <w:szCs w:val="22"/>
        </w:rPr>
        <w:t xml:space="preserve">: the total amount required by the Company to complete the Project in accordance with the Investment Proposal, such sum being </w:t>
      </w:r>
      <w:r w:rsidR="004521CF">
        <w:rPr>
          <w:szCs w:val="22"/>
        </w:rPr>
        <w:t>€5,460,000</w:t>
      </w:r>
      <w:r>
        <w:rPr>
          <w:szCs w:val="22"/>
        </w:rPr>
        <w:t xml:space="preserve"> as at the date hereof and subject to amendment</w:t>
      </w:r>
      <w:r w:rsidR="005D4A34">
        <w:rPr>
          <w:szCs w:val="22"/>
        </w:rPr>
        <w:t>s in accordance with clauses 8.4 and 8.5</w:t>
      </w:r>
      <w:r>
        <w:rPr>
          <w:szCs w:val="22"/>
        </w:rPr>
        <w:t xml:space="preserve">. </w:t>
      </w:r>
      <w:bookmarkEnd w:id="5"/>
    </w:p>
    <w:p w14:paraId="5FB115D9" w14:textId="77777777" w:rsidR="00DC6D61" w:rsidRPr="00DC6D61" w:rsidRDefault="00DC6D61" w:rsidP="00DC6D61">
      <w:pPr>
        <w:pStyle w:val="DefinedTermPara"/>
        <w:spacing w:before="60"/>
        <w:rPr>
          <w:rStyle w:val="DefTerm"/>
          <w:rFonts w:ascii="Calibri" w:hAnsi="Calibri"/>
          <w:szCs w:val="22"/>
        </w:rPr>
      </w:pPr>
      <w:bookmarkStart w:id="6" w:name="a610021"/>
      <w:r w:rsidRPr="00DC6D61">
        <w:rPr>
          <w:rStyle w:val="DefTerm"/>
          <w:rFonts w:ascii="Calibri" w:hAnsi="Calibri"/>
          <w:szCs w:val="22"/>
        </w:rPr>
        <w:t>Business Day</w:t>
      </w:r>
      <w:r w:rsidRPr="00DC6D61">
        <w:rPr>
          <w:szCs w:val="22"/>
        </w:rPr>
        <w:t>: a day other than a Saturday, Sunday or public holiday in England when banks in London are open for business.</w:t>
      </w:r>
      <w:bookmarkEnd w:id="6"/>
    </w:p>
    <w:p w14:paraId="27A01A80" w14:textId="77777777" w:rsidR="00DC6D61" w:rsidRPr="00DC6D61" w:rsidRDefault="00DC6D61" w:rsidP="00DC6D61">
      <w:pPr>
        <w:pStyle w:val="DefinedTermPara"/>
        <w:spacing w:before="60"/>
        <w:rPr>
          <w:rStyle w:val="DefTerm"/>
          <w:rFonts w:ascii="Calibri" w:hAnsi="Calibri"/>
          <w:szCs w:val="22"/>
        </w:rPr>
      </w:pPr>
      <w:bookmarkStart w:id="7" w:name="a964658"/>
      <w:r w:rsidRPr="00DC6D61">
        <w:rPr>
          <w:rStyle w:val="DefTerm"/>
          <w:rFonts w:ascii="Calibri" w:hAnsi="Calibri"/>
          <w:szCs w:val="22"/>
        </w:rPr>
        <w:t>Claim</w:t>
      </w:r>
      <w:r w:rsidRPr="00DC6D61">
        <w:rPr>
          <w:szCs w:val="22"/>
        </w:rPr>
        <w:t>: any claim for breach of any Warranty.</w:t>
      </w:r>
      <w:bookmarkEnd w:id="7"/>
    </w:p>
    <w:p w14:paraId="442563DC" w14:textId="77777777" w:rsidR="00DC6D61" w:rsidRPr="00DC6D61" w:rsidRDefault="00DC6D61" w:rsidP="00DC6D61">
      <w:pPr>
        <w:pStyle w:val="DefinedTermPara"/>
        <w:spacing w:before="60"/>
        <w:rPr>
          <w:rStyle w:val="DefTerm"/>
          <w:rFonts w:ascii="Calibri" w:hAnsi="Calibri"/>
          <w:szCs w:val="22"/>
        </w:rPr>
      </w:pPr>
      <w:bookmarkStart w:id="8" w:name="a254651"/>
      <w:r w:rsidRPr="00DC6D61">
        <w:rPr>
          <w:rStyle w:val="DefTerm"/>
          <w:rFonts w:ascii="Calibri" w:hAnsi="Calibri"/>
          <w:szCs w:val="22"/>
        </w:rPr>
        <w:t>Completion</w:t>
      </w:r>
      <w:r w:rsidRPr="00DC6D61">
        <w:rPr>
          <w:szCs w:val="22"/>
        </w:rPr>
        <w:t xml:space="preserve">: completion </w:t>
      </w:r>
      <w:r w:rsidR="008D05B4">
        <w:rPr>
          <w:szCs w:val="22"/>
        </w:rPr>
        <w:t xml:space="preserve">of the Investor’s </w:t>
      </w:r>
      <w:r w:rsidRPr="00DC6D61">
        <w:rPr>
          <w:szCs w:val="22"/>
        </w:rPr>
        <w:t xml:space="preserve">obligations under clause </w:t>
      </w:r>
      <w:r w:rsidRPr="004521CF">
        <w:rPr>
          <w:szCs w:val="22"/>
        </w:rPr>
        <w:fldChar w:fldCharType="begin"/>
      </w:r>
      <w:r w:rsidRPr="004521CF">
        <w:rPr>
          <w:szCs w:val="22"/>
        </w:rPr>
        <w:instrText>REF a308748 \h \w \n</w:instrText>
      </w:r>
      <w:r w:rsidR="007D20B8" w:rsidRPr="004521CF">
        <w:rPr>
          <w:szCs w:val="22"/>
        </w:rPr>
        <w:instrText xml:space="preserve"> \* MERGEFORMAT </w:instrText>
      </w:r>
      <w:r w:rsidRPr="004521CF">
        <w:rPr>
          <w:szCs w:val="22"/>
        </w:rPr>
      </w:r>
      <w:r w:rsidRPr="004521CF">
        <w:rPr>
          <w:szCs w:val="22"/>
        </w:rPr>
        <w:fldChar w:fldCharType="separate"/>
      </w:r>
      <w:r w:rsidR="002B65AC" w:rsidRPr="004521CF">
        <w:rPr>
          <w:szCs w:val="22"/>
        </w:rPr>
        <w:t>2</w:t>
      </w:r>
      <w:r w:rsidRPr="004521CF">
        <w:rPr>
          <w:szCs w:val="22"/>
        </w:rPr>
        <w:fldChar w:fldCharType="end"/>
      </w:r>
      <w:r w:rsidR="00A35797">
        <w:rPr>
          <w:szCs w:val="22"/>
        </w:rPr>
        <w:t xml:space="preserve">, with such date to be no later than </w:t>
      </w:r>
      <w:bookmarkEnd w:id="8"/>
      <w:r w:rsidR="00386240" w:rsidRPr="004521CF">
        <w:rPr>
          <w:szCs w:val="22"/>
        </w:rPr>
        <w:t>30 July 2019</w:t>
      </w:r>
      <w:r w:rsidR="00386240">
        <w:rPr>
          <w:szCs w:val="22"/>
        </w:rPr>
        <w:t>.</w:t>
      </w:r>
    </w:p>
    <w:p w14:paraId="6974D413" w14:textId="77777777" w:rsidR="00DC6D61" w:rsidRPr="005B08E6" w:rsidRDefault="00DC6D61" w:rsidP="00DC6D61">
      <w:pPr>
        <w:pStyle w:val="DefinedTermPara"/>
        <w:spacing w:before="60"/>
        <w:rPr>
          <w:rFonts w:eastAsia="Arial"/>
          <w:b/>
          <w:szCs w:val="22"/>
        </w:rPr>
      </w:pPr>
      <w:bookmarkStart w:id="9" w:name="a185553"/>
      <w:r w:rsidRPr="00DC6D61">
        <w:rPr>
          <w:rStyle w:val="DefTerm"/>
          <w:rFonts w:ascii="Calibri" w:hAnsi="Calibri"/>
          <w:szCs w:val="22"/>
        </w:rPr>
        <w:t>Completion Date</w:t>
      </w:r>
      <w:r w:rsidR="00517195">
        <w:rPr>
          <w:szCs w:val="22"/>
        </w:rPr>
        <w:t xml:space="preserve">: </w:t>
      </w:r>
      <w:r w:rsidRPr="00DC6D61">
        <w:rPr>
          <w:szCs w:val="22"/>
        </w:rPr>
        <w:t xml:space="preserve">the </w:t>
      </w:r>
      <w:r w:rsidR="009452E2">
        <w:rPr>
          <w:szCs w:val="22"/>
        </w:rPr>
        <w:t>date on which Completion occurs</w:t>
      </w:r>
      <w:r w:rsidRPr="00DC6D61">
        <w:rPr>
          <w:szCs w:val="22"/>
        </w:rPr>
        <w:t>.</w:t>
      </w:r>
      <w:bookmarkEnd w:id="9"/>
    </w:p>
    <w:p w14:paraId="41F8BEFC" w14:textId="77777777" w:rsidR="005B08E6" w:rsidRPr="001A2FDB" w:rsidRDefault="005B08E6" w:rsidP="00DC6D61">
      <w:pPr>
        <w:pStyle w:val="DefinedTermPara"/>
        <w:spacing w:before="60"/>
        <w:rPr>
          <w:rFonts w:eastAsia="Arial"/>
          <w:b/>
          <w:szCs w:val="22"/>
        </w:rPr>
      </w:pPr>
      <w:r>
        <w:rPr>
          <w:rStyle w:val="DefTerm"/>
          <w:rFonts w:ascii="Calibri" w:hAnsi="Calibri"/>
          <w:szCs w:val="22"/>
        </w:rPr>
        <w:t>Confidential Information</w:t>
      </w:r>
      <w:r w:rsidRPr="005B08E6">
        <w:t>:</w:t>
      </w:r>
      <w:r>
        <w:rPr>
          <w:rFonts w:eastAsia="Arial"/>
          <w:b/>
          <w:szCs w:val="22"/>
        </w:rPr>
        <w:t xml:space="preserve"> </w:t>
      </w:r>
      <w:r w:rsidR="001A2FDB" w:rsidRPr="008E579D">
        <w:t>means all confidential information relating to the P</w:t>
      </w:r>
      <w:r w:rsidR="001A2FDB">
        <w:t>roject</w:t>
      </w:r>
      <w:r w:rsidR="001A2FDB" w:rsidRPr="008E579D">
        <w:t xml:space="preserve"> which </w:t>
      </w:r>
      <w:r w:rsidR="001A2FDB">
        <w:t xml:space="preserve">the Company or the Founders or its representatives </w:t>
      </w:r>
      <w:r w:rsidR="001A2FDB" w:rsidRPr="008E579D">
        <w:t>or any of</w:t>
      </w:r>
      <w:r w:rsidR="001A2FDB">
        <w:t xml:space="preserve"> its group companies, or their representatives</w:t>
      </w:r>
      <w:r w:rsidR="001A2FDB" w:rsidRPr="008E579D">
        <w:t xml:space="preserve"> directly or indirectly discloses, or makes available, to the </w:t>
      </w:r>
      <w:r w:rsidR="001A2FDB">
        <w:t xml:space="preserve">Investor or its </w:t>
      </w:r>
      <w:proofErr w:type="gramStart"/>
      <w:r w:rsidR="001A2FDB">
        <w:t xml:space="preserve">representatives </w:t>
      </w:r>
      <w:r w:rsidR="001A2FDB" w:rsidRPr="008E579D">
        <w:t>,</w:t>
      </w:r>
      <w:proofErr w:type="gramEnd"/>
      <w:r w:rsidR="001A2FDB" w:rsidRPr="008E579D">
        <w:t xml:space="preserve"> before, on or a</w:t>
      </w:r>
      <w:r w:rsidR="001A2FDB">
        <w:t>fter the date of this agreement</w:t>
      </w:r>
      <w:r w:rsidR="001A2FDB" w:rsidRPr="008E579D">
        <w:t>. This includes</w:t>
      </w:r>
      <w:r w:rsidR="001A2FDB">
        <w:t>:</w:t>
      </w:r>
    </w:p>
    <w:p w14:paraId="7EC39A77" w14:textId="77777777" w:rsidR="001A2FDB" w:rsidRPr="001A2FDB" w:rsidRDefault="001A2FDB" w:rsidP="00DC6D61">
      <w:pPr>
        <w:pStyle w:val="DefinedTermPara"/>
        <w:spacing w:before="60"/>
        <w:rPr>
          <w:rFonts w:eastAsia="Arial"/>
          <w:b/>
          <w:szCs w:val="22"/>
        </w:rPr>
      </w:pPr>
      <w:r>
        <w:rPr>
          <w:rStyle w:val="DefTerm"/>
          <w:rFonts w:ascii="Calibri" w:hAnsi="Calibri"/>
          <w:b w:val="0"/>
          <w:bCs/>
          <w:szCs w:val="22"/>
        </w:rPr>
        <w:t>(</w:t>
      </w:r>
      <w:proofErr w:type="spellStart"/>
      <w:r>
        <w:rPr>
          <w:rStyle w:val="DefTerm"/>
          <w:rFonts w:ascii="Calibri" w:hAnsi="Calibri"/>
          <w:b w:val="0"/>
          <w:bCs/>
          <w:szCs w:val="22"/>
        </w:rPr>
        <w:t>i</w:t>
      </w:r>
      <w:proofErr w:type="spellEnd"/>
      <w:r>
        <w:rPr>
          <w:rStyle w:val="DefTerm"/>
          <w:rFonts w:ascii="Calibri" w:hAnsi="Calibri"/>
          <w:b w:val="0"/>
          <w:bCs/>
          <w:szCs w:val="22"/>
        </w:rPr>
        <w:t xml:space="preserve">) </w:t>
      </w:r>
      <w:r w:rsidRPr="008E579D">
        <w:rPr>
          <w:color w:val="000000"/>
        </w:rPr>
        <w:t>the fact that discussions and negotiations are tak</w:t>
      </w:r>
      <w:r>
        <w:rPr>
          <w:color w:val="000000"/>
        </w:rPr>
        <w:t>ing place concerning the Project</w:t>
      </w:r>
      <w:r w:rsidRPr="008E579D">
        <w:rPr>
          <w:color w:val="000000"/>
        </w:rPr>
        <w:t xml:space="preserve"> and the status of those discussions and negotiations;</w:t>
      </w:r>
    </w:p>
    <w:p w14:paraId="3109CE07" w14:textId="77777777" w:rsidR="001A2FDB" w:rsidRDefault="001A2FDB" w:rsidP="001A2FDB">
      <w:pPr>
        <w:pStyle w:val="DefinedTermNumber"/>
        <w:numPr>
          <w:ilvl w:val="0"/>
          <w:numId w:val="0"/>
        </w:numPr>
        <w:ind w:left="1714" w:hanging="994"/>
        <w:rPr>
          <w:color w:val="000000"/>
        </w:rPr>
      </w:pPr>
      <w:r>
        <w:rPr>
          <w:color w:val="000000"/>
        </w:rPr>
        <w:t>(ii) the existence and</w:t>
      </w:r>
      <w:r w:rsidRPr="008E579D">
        <w:rPr>
          <w:color w:val="000000"/>
        </w:rPr>
        <w:t xml:space="preserve"> terms of this agreement;</w:t>
      </w:r>
    </w:p>
    <w:p w14:paraId="6031B3B0" w14:textId="77777777" w:rsidR="001A2FDB" w:rsidRDefault="001A2FDB" w:rsidP="001A2FDB">
      <w:pPr>
        <w:pStyle w:val="DefinedTermNumber"/>
        <w:numPr>
          <w:ilvl w:val="0"/>
          <w:numId w:val="0"/>
        </w:numPr>
        <w:ind w:left="1714" w:hanging="994"/>
        <w:rPr>
          <w:color w:val="000000"/>
        </w:rPr>
      </w:pPr>
      <w:r>
        <w:rPr>
          <w:color w:val="000000"/>
        </w:rPr>
        <w:t xml:space="preserve">(iii) </w:t>
      </w:r>
      <w:r w:rsidRPr="008E579D">
        <w:rPr>
          <w:color w:val="000000"/>
        </w:rPr>
        <w:t>all confidential or proprietary information relating to:</w:t>
      </w:r>
    </w:p>
    <w:p w14:paraId="6DC75C46" w14:textId="77777777" w:rsidR="001A2FDB" w:rsidRDefault="001A2FDB" w:rsidP="001A2FDB">
      <w:pPr>
        <w:pStyle w:val="Untitledsubclause2"/>
        <w:rPr>
          <w:color w:val="000000"/>
        </w:rPr>
      </w:pPr>
      <w:r w:rsidRPr="008E579D">
        <w:rPr>
          <w:color w:val="000000"/>
        </w:rPr>
        <w:t>the</w:t>
      </w:r>
      <w:r>
        <w:rPr>
          <w:color w:val="000000"/>
        </w:rPr>
        <w:t xml:space="preserve"> business, affairs</w:t>
      </w:r>
      <w:r w:rsidRPr="008E579D">
        <w:rPr>
          <w:color w:val="000000"/>
        </w:rPr>
        <w:t>, clients, inte</w:t>
      </w:r>
      <w:r>
        <w:rPr>
          <w:color w:val="000000"/>
        </w:rPr>
        <w:t>ntions, or market opportunities</w:t>
      </w:r>
      <w:r w:rsidRPr="008E579D">
        <w:rPr>
          <w:color w:val="000000"/>
        </w:rPr>
        <w:t xml:space="preserve"> of the </w:t>
      </w:r>
      <w:r>
        <w:rPr>
          <w:color w:val="000000"/>
        </w:rPr>
        <w:t>Founder or Company and any of its group companies</w:t>
      </w:r>
      <w:r w:rsidRPr="008E579D">
        <w:rPr>
          <w:color w:val="000000"/>
        </w:rPr>
        <w:t>;</w:t>
      </w:r>
    </w:p>
    <w:p w14:paraId="142BD481" w14:textId="77777777" w:rsidR="001A2FDB" w:rsidRDefault="001A2FDB" w:rsidP="001A2FDB">
      <w:pPr>
        <w:pStyle w:val="Untitledsubclause2"/>
        <w:rPr>
          <w:color w:val="000000"/>
        </w:rPr>
      </w:pPr>
      <w:r w:rsidRPr="008E579D">
        <w:rPr>
          <w:color w:val="000000"/>
        </w:rPr>
        <w:t>the operations, processes, product information, know-how, technical information, designs, t</w:t>
      </w:r>
      <w:r>
        <w:rPr>
          <w:color w:val="000000"/>
        </w:rPr>
        <w:t>rade secrets or software of the Founders, Company or its group companies</w:t>
      </w:r>
      <w:r w:rsidRPr="008E579D">
        <w:rPr>
          <w:color w:val="000000"/>
        </w:rPr>
        <w:t>;</w:t>
      </w:r>
    </w:p>
    <w:p w14:paraId="70842211" w14:textId="77777777" w:rsidR="001A2FDB" w:rsidRDefault="001A2FDB" w:rsidP="001A2FDB">
      <w:pPr>
        <w:pStyle w:val="Untitledsubclause2"/>
        <w:rPr>
          <w:color w:val="000000"/>
        </w:rPr>
      </w:pPr>
      <w:r>
        <w:rPr>
          <w:color w:val="000000"/>
        </w:rPr>
        <w:t xml:space="preserve">any information, findings, data or analysis derived from Confidential Information; and </w:t>
      </w:r>
    </w:p>
    <w:p w14:paraId="181BD1C7" w14:textId="77777777" w:rsidR="001A2FDB" w:rsidRDefault="001A2FDB" w:rsidP="001A2FDB">
      <w:pPr>
        <w:pStyle w:val="Untitledsubclause2"/>
        <w:rPr>
          <w:color w:val="000000"/>
        </w:rPr>
      </w:pPr>
      <w:r>
        <w:rPr>
          <w:color w:val="000000"/>
        </w:rPr>
        <w:t xml:space="preserve">any other information that is identified as being of a confidential or proprietary nature. </w:t>
      </w:r>
    </w:p>
    <w:p w14:paraId="7E4B6C79" w14:textId="77777777" w:rsidR="001A2FDB" w:rsidRDefault="001A2FDB" w:rsidP="001A2FDB">
      <w:pPr>
        <w:pStyle w:val="TitleClause"/>
        <w:numPr>
          <w:ilvl w:val="0"/>
          <w:numId w:val="0"/>
        </w:numPr>
        <w:ind w:left="720"/>
        <w:rPr>
          <w:b w:val="0"/>
          <w:bCs/>
        </w:rPr>
      </w:pPr>
      <w:bookmarkStart w:id="10" w:name="a643700"/>
      <w:r w:rsidRPr="001A2FDB">
        <w:rPr>
          <w:b w:val="0"/>
          <w:bCs/>
        </w:rPr>
        <w:t>Information is not Confidential Information if:</w:t>
      </w:r>
      <w:bookmarkEnd w:id="10"/>
    </w:p>
    <w:p w14:paraId="2E8D4C1A" w14:textId="77777777" w:rsidR="001A2FDB" w:rsidRDefault="001A2FDB" w:rsidP="001A2FDB">
      <w:pPr>
        <w:pStyle w:val="DefinedTermNumber"/>
        <w:numPr>
          <w:ilvl w:val="0"/>
          <w:numId w:val="0"/>
        </w:numPr>
        <w:ind w:left="720"/>
        <w:rPr>
          <w:color w:val="000000"/>
        </w:rPr>
      </w:pPr>
      <w:r>
        <w:rPr>
          <w:color w:val="000000"/>
        </w:rPr>
        <w:t xml:space="preserve">(a) </w:t>
      </w:r>
      <w:r w:rsidRPr="008E579D">
        <w:rPr>
          <w:color w:val="000000"/>
        </w:rPr>
        <w:t xml:space="preserve">it is, or becomes, generally available to the public other than as a direct or indirect result of the information being disclosed by the </w:t>
      </w:r>
      <w:r>
        <w:rPr>
          <w:color w:val="000000"/>
        </w:rPr>
        <w:t>Investor or its representatives in breach of this agreement</w:t>
      </w:r>
      <w:r w:rsidRPr="008E579D">
        <w:rPr>
          <w:color w:val="000000"/>
        </w:rPr>
        <w:t>;</w:t>
      </w:r>
      <w:bookmarkStart w:id="11" w:name="a586978"/>
    </w:p>
    <w:p w14:paraId="7DAD5BE1" w14:textId="77777777" w:rsidR="001A2FDB" w:rsidRDefault="001A2FDB" w:rsidP="001A2FDB">
      <w:pPr>
        <w:pStyle w:val="DefinedTermNumber"/>
        <w:numPr>
          <w:ilvl w:val="0"/>
          <w:numId w:val="0"/>
        </w:numPr>
        <w:ind w:left="720"/>
        <w:rPr>
          <w:color w:val="000000"/>
        </w:rPr>
      </w:pPr>
      <w:r>
        <w:rPr>
          <w:color w:val="000000"/>
        </w:rPr>
        <w:t xml:space="preserve">(b) </w:t>
      </w:r>
      <w:r w:rsidRPr="008E579D">
        <w:rPr>
          <w:color w:val="000000"/>
        </w:rPr>
        <w:t xml:space="preserve">it was available to the </w:t>
      </w:r>
      <w:r>
        <w:rPr>
          <w:color w:val="000000"/>
        </w:rPr>
        <w:t>Investor</w:t>
      </w:r>
      <w:r w:rsidRPr="008E579D">
        <w:rPr>
          <w:color w:val="000000"/>
        </w:rPr>
        <w:t xml:space="preserve"> on a non-confidential basis prior to disclosure by the</w:t>
      </w:r>
      <w:r>
        <w:rPr>
          <w:color w:val="000000"/>
        </w:rPr>
        <w:t xml:space="preserve"> Company or any of its group companies</w:t>
      </w:r>
      <w:r w:rsidRPr="008E579D">
        <w:rPr>
          <w:color w:val="000000"/>
        </w:rPr>
        <w:t>;</w:t>
      </w:r>
      <w:bookmarkStart w:id="12" w:name="a62671"/>
      <w:bookmarkEnd w:id="11"/>
    </w:p>
    <w:p w14:paraId="7EAAD027" w14:textId="77777777" w:rsidR="001A2FDB" w:rsidRDefault="001A2FDB" w:rsidP="001A2FDB">
      <w:pPr>
        <w:pStyle w:val="DefinedTermNumber"/>
        <w:numPr>
          <w:ilvl w:val="0"/>
          <w:numId w:val="0"/>
        </w:numPr>
        <w:ind w:left="720"/>
        <w:rPr>
          <w:color w:val="000000"/>
        </w:rPr>
      </w:pPr>
      <w:r>
        <w:rPr>
          <w:color w:val="000000"/>
        </w:rPr>
        <w:t xml:space="preserve">(c) </w:t>
      </w:r>
      <w:r w:rsidRPr="008E579D">
        <w:rPr>
          <w:color w:val="000000"/>
        </w:rPr>
        <w:t xml:space="preserve">it was, is, or becomes available to the </w:t>
      </w:r>
      <w:r>
        <w:rPr>
          <w:color w:val="000000"/>
        </w:rPr>
        <w:t>Investor</w:t>
      </w:r>
      <w:r w:rsidRPr="008E579D">
        <w:rPr>
          <w:color w:val="000000"/>
        </w:rPr>
        <w:t xml:space="preserve"> on a non-confidential basis from a person who, to the </w:t>
      </w:r>
      <w:r>
        <w:rPr>
          <w:color w:val="000000"/>
        </w:rPr>
        <w:t>Investor’s</w:t>
      </w:r>
      <w:r w:rsidRPr="008E579D">
        <w:rPr>
          <w:color w:val="000000"/>
        </w:rPr>
        <w:t xml:space="preserve"> knowledge, is not under any confidentiality obligation in respect of that information;</w:t>
      </w:r>
      <w:bookmarkStart w:id="13" w:name="a87236"/>
      <w:bookmarkEnd w:id="12"/>
    </w:p>
    <w:p w14:paraId="7A006D76" w14:textId="77777777" w:rsidR="001A2FDB" w:rsidRDefault="001A2FDB" w:rsidP="001A2FDB">
      <w:pPr>
        <w:pStyle w:val="DefinedTermNumber"/>
        <w:numPr>
          <w:ilvl w:val="0"/>
          <w:numId w:val="0"/>
        </w:numPr>
        <w:ind w:left="720"/>
        <w:rPr>
          <w:color w:val="000000"/>
        </w:rPr>
      </w:pPr>
      <w:r>
        <w:rPr>
          <w:color w:val="000000"/>
        </w:rPr>
        <w:t xml:space="preserve">(d) </w:t>
      </w:r>
      <w:r w:rsidRPr="008E579D">
        <w:rPr>
          <w:color w:val="000000"/>
        </w:rPr>
        <w:t xml:space="preserve">it was lawfully in the possession of the </w:t>
      </w:r>
      <w:r>
        <w:rPr>
          <w:color w:val="000000"/>
        </w:rPr>
        <w:t>Investor</w:t>
      </w:r>
      <w:r w:rsidRPr="008E579D">
        <w:rPr>
          <w:color w:val="000000"/>
        </w:rPr>
        <w:t xml:space="preserve"> before the in</w:t>
      </w:r>
      <w:r>
        <w:rPr>
          <w:color w:val="000000"/>
        </w:rPr>
        <w:t xml:space="preserve">formation was disclosed by the Company or any of its group companies; or </w:t>
      </w:r>
      <w:bookmarkStart w:id="14" w:name="a325965"/>
      <w:bookmarkEnd w:id="13"/>
    </w:p>
    <w:p w14:paraId="7D744D76" w14:textId="77777777" w:rsidR="001A2FDB" w:rsidRPr="008E579D" w:rsidRDefault="001A2FDB" w:rsidP="001A2FDB">
      <w:pPr>
        <w:pStyle w:val="DefinedTermNumber"/>
        <w:numPr>
          <w:ilvl w:val="0"/>
          <w:numId w:val="0"/>
        </w:numPr>
        <w:ind w:left="720"/>
        <w:rPr>
          <w:color w:val="000000"/>
        </w:rPr>
      </w:pPr>
      <w:r>
        <w:rPr>
          <w:color w:val="000000"/>
        </w:rPr>
        <w:t xml:space="preserve">(e) </w:t>
      </w:r>
      <w:r w:rsidRPr="008E579D">
        <w:rPr>
          <w:color w:val="000000"/>
        </w:rPr>
        <w:t>the parties agree in writing that the information is not confidential.</w:t>
      </w:r>
      <w:bookmarkEnd w:id="14"/>
    </w:p>
    <w:p w14:paraId="71CCA2F9" w14:textId="77777777" w:rsidR="00CE29EE" w:rsidRPr="00DC6D61" w:rsidRDefault="00CE29EE" w:rsidP="00DC6D61">
      <w:pPr>
        <w:pStyle w:val="DefinedTermPara"/>
        <w:spacing w:before="60"/>
        <w:rPr>
          <w:rStyle w:val="DefTerm"/>
          <w:rFonts w:ascii="Calibri" w:hAnsi="Calibri"/>
          <w:szCs w:val="22"/>
        </w:rPr>
      </w:pPr>
      <w:r w:rsidRPr="00CE29EE">
        <w:rPr>
          <w:b/>
          <w:szCs w:val="22"/>
        </w:rPr>
        <w:lastRenderedPageBreak/>
        <w:t>Costs</w:t>
      </w:r>
      <w:r>
        <w:rPr>
          <w:szCs w:val="22"/>
        </w:rPr>
        <w:t xml:space="preserve">: means the total costs </w:t>
      </w:r>
      <w:r w:rsidR="005C7D62">
        <w:rPr>
          <w:szCs w:val="22"/>
        </w:rPr>
        <w:t>and expenses incurred by the Company and</w:t>
      </w:r>
      <w:r>
        <w:rPr>
          <w:szCs w:val="22"/>
        </w:rPr>
        <w:t xml:space="preserve"> </w:t>
      </w:r>
      <w:r w:rsidR="00386240">
        <w:rPr>
          <w:szCs w:val="22"/>
        </w:rPr>
        <w:t>Fine Holdings</w:t>
      </w:r>
      <w:r>
        <w:rPr>
          <w:szCs w:val="22"/>
        </w:rPr>
        <w:t xml:space="preserve"> properly incurred in relation to the Project</w:t>
      </w:r>
      <w:r w:rsidR="005C7D62">
        <w:rPr>
          <w:szCs w:val="22"/>
        </w:rPr>
        <w:t xml:space="preserve"> and in accordance with the terms of this agreement</w:t>
      </w:r>
      <w:r>
        <w:rPr>
          <w:szCs w:val="22"/>
        </w:rPr>
        <w:t>.</w:t>
      </w:r>
    </w:p>
    <w:p w14:paraId="52951514" w14:textId="77777777" w:rsidR="00DC6D61" w:rsidRPr="00DC6D61" w:rsidRDefault="00DC6D61" w:rsidP="00DC6D61">
      <w:pPr>
        <w:pStyle w:val="DefinedTermPara"/>
        <w:spacing w:before="60"/>
        <w:rPr>
          <w:rStyle w:val="DefTerm"/>
          <w:rFonts w:ascii="Calibri" w:hAnsi="Calibri"/>
          <w:szCs w:val="22"/>
        </w:rPr>
      </w:pPr>
      <w:bookmarkStart w:id="15" w:name="a841473"/>
      <w:r w:rsidRPr="00DC6D61">
        <w:rPr>
          <w:rStyle w:val="DefTerm"/>
          <w:rFonts w:ascii="Calibri" w:hAnsi="Calibri"/>
          <w:szCs w:val="22"/>
        </w:rPr>
        <w:t>Disclosed</w:t>
      </w:r>
      <w:r w:rsidR="009452E2">
        <w:rPr>
          <w:szCs w:val="22"/>
        </w:rPr>
        <w:t xml:space="preserve">: </w:t>
      </w:r>
      <w:proofErr w:type="gramStart"/>
      <w:r w:rsidR="009452E2">
        <w:rPr>
          <w:szCs w:val="22"/>
        </w:rPr>
        <w:t>fairly disclosed</w:t>
      </w:r>
      <w:proofErr w:type="gramEnd"/>
      <w:r w:rsidR="009452E2">
        <w:rPr>
          <w:szCs w:val="22"/>
        </w:rPr>
        <w:t xml:space="preserve"> </w:t>
      </w:r>
      <w:r w:rsidRPr="00DC6D61">
        <w:rPr>
          <w:szCs w:val="22"/>
        </w:rPr>
        <w:t>o</w:t>
      </w:r>
      <w:r w:rsidR="009452E2">
        <w:rPr>
          <w:szCs w:val="22"/>
        </w:rPr>
        <w:t>r deemed to have been Disclosed</w:t>
      </w:r>
      <w:r w:rsidRPr="00DC6D61">
        <w:rPr>
          <w:szCs w:val="22"/>
        </w:rPr>
        <w:t xml:space="preserve"> with sufficient explanation and detail to identify the nature, scope and full implications of the matters disclosed.</w:t>
      </w:r>
      <w:bookmarkEnd w:id="15"/>
    </w:p>
    <w:p w14:paraId="3C568C63" w14:textId="77777777" w:rsidR="00DC6D61" w:rsidRPr="00DC6D61" w:rsidRDefault="00DC6D61" w:rsidP="00DC6D61">
      <w:pPr>
        <w:pStyle w:val="DefinedTermPara"/>
        <w:spacing w:before="60"/>
        <w:rPr>
          <w:rStyle w:val="DefTerm"/>
          <w:rFonts w:ascii="Calibri" w:hAnsi="Calibri"/>
          <w:szCs w:val="22"/>
        </w:rPr>
      </w:pPr>
      <w:bookmarkStart w:id="16" w:name="a173620"/>
      <w:r w:rsidRPr="00DC6D61">
        <w:rPr>
          <w:rStyle w:val="DefTerm"/>
          <w:rFonts w:ascii="Calibri" w:hAnsi="Calibri"/>
          <w:szCs w:val="22"/>
        </w:rPr>
        <w:t>Encumbrance</w:t>
      </w:r>
      <w:r w:rsidRPr="00DC6D61">
        <w:rPr>
          <w:szCs w:val="22"/>
        </w:rPr>
        <w:t>: any mortgage, charge, security interest, lien, pledge, assignment by way of security, equity claim, right of pre-emption, option, covenant, restriction, reservation, lease, trust, order, decree, judgment, title defect (including retention of title claim), conflicting claim of ownership or any other encumbrance of any nature whatsoever (whether or not perfected) other than liens arising by operation of law.</w:t>
      </w:r>
      <w:bookmarkEnd w:id="16"/>
    </w:p>
    <w:p w14:paraId="5F548FEC" w14:textId="77777777" w:rsidR="00DC6D61" w:rsidRPr="001D03E8" w:rsidRDefault="00DC6D61" w:rsidP="00DC6D61">
      <w:pPr>
        <w:pStyle w:val="DefinedTermPara"/>
        <w:spacing w:before="60"/>
        <w:rPr>
          <w:rFonts w:eastAsia="Arial"/>
          <w:b/>
          <w:szCs w:val="22"/>
        </w:rPr>
      </w:pPr>
      <w:bookmarkStart w:id="17" w:name="a113452"/>
      <w:r w:rsidRPr="00DC6D61">
        <w:rPr>
          <w:rStyle w:val="DefTerm"/>
          <w:rFonts w:ascii="Calibri" w:hAnsi="Calibri"/>
          <w:szCs w:val="22"/>
        </w:rPr>
        <w:t>Founder</w:t>
      </w:r>
      <w:r w:rsidRPr="00DC6D61">
        <w:rPr>
          <w:szCs w:val="22"/>
        </w:rPr>
        <w:t xml:space="preserve">: the persons listed in column 1 of </w:t>
      </w:r>
      <w:r w:rsidRPr="00386240">
        <w:rPr>
          <w:szCs w:val="22"/>
        </w:rPr>
        <w:fldChar w:fldCharType="begin"/>
      </w:r>
      <w:r w:rsidRPr="00386240">
        <w:rPr>
          <w:szCs w:val="22"/>
        </w:rPr>
        <w:instrText>REF a114201 \h \w \n</w:instrText>
      </w:r>
      <w:r w:rsidR="007D20B8" w:rsidRPr="00386240">
        <w:rPr>
          <w:szCs w:val="22"/>
        </w:rPr>
        <w:instrText xml:space="preserve"> \* MERGEFORMAT </w:instrText>
      </w:r>
      <w:r w:rsidRPr="00386240">
        <w:rPr>
          <w:szCs w:val="22"/>
        </w:rPr>
      </w:r>
      <w:r w:rsidRPr="00386240">
        <w:rPr>
          <w:szCs w:val="22"/>
        </w:rPr>
        <w:fldChar w:fldCharType="separate"/>
      </w:r>
      <w:r w:rsidR="002B65AC" w:rsidRPr="00386240">
        <w:rPr>
          <w:szCs w:val="22"/>
        </w:rPr>
        <w:t>Schedule 1</w:t>
      </w:r>
      <w:r w:rsidRPr="00386240">
        <w:rPr>
          <w:szCs w:val="22"/>
        </w:rPr>
        <w:fldChar w:fldCharType="end"/>
      </w:r>
      <w:r w:rsidRPr="00DC6D61">
        <w:rPr>
          <w:szCs w:val="22"/>
        </w:rPr>
        <w:t>.</w:t>
      </w:r>
      <w:bookmarkEnd w:id="17"/>
    </w:p>
    <w:p w14:paraId="4A224865" w14:textId="77777777" w:rsidR="00D15878" w:rsidRPr="00DC6D61" w:rsidRDefault="00D15878" w:rsidP="00DC6D61">
      <w:pPr>
        <w:pStyle w:val="DefinedTermPara"/>
        <w:spacing w:before="60"/>
        <w:rPr>
          <w:rStyle w:val="DefTerm"/>
          <w:rFonts w:ascii="Calibri" w:hAnsi="Calibri"/>
          <w:szCs w:val="22"/>
        </w:rPr>
      </w:pPr>
      <w:r w:rsidRPr="001D03E8">
        <w:rPr>
          <w:b/>
        </w:rPr>
        <w:t>G</w:t>
      </w:r>
      <w:r w:rsidR="006E2F47">
        <w:rPr>
          <w:b/>
        </w:rPr>
        <w:t>M</w:t>
      </w:r>
      <w:r>
        <w:rPr>
          <w:szCs w:val="22"/>
        </w:rPr>
        <w:t xml:space="preserve">: Glacier Motion </w:t>
      </w:r>
      <w:r w:rsidR="00386240">
        <w:rPr>
          <w:szCs w:val="22"/>
        </w:rPr>
        <w:t>S.A.</w:t>
      </w:r>
      <w:r>
        <w:rPr>
          <w:szCs w:val="22"/>
        </w:rPr>
        <w:t xml:space="preserve"> a company incorporated in </w:t>
      </w:r>
      <w:r w:rsidR="00386240">
        <w:rPr>
          <w:szCs w:val="22"/>
        </w:rPr>
        <w:t>Portugal</w:t>
      </w:r>
      <w:r>
        <w:rPr>
          <w:szCs w:val="22"/>
        </w:rPr>
        <w:t xml:space="preserve"> with company number </w:t>
      </w:r>
      <w:r w:rsidR="00386240">
        <w:rPr>
          <w:szCs w:val="22"/>
        </w:rPr>
        <w:t xml:space="preserve">515156728 </w:t>
      </w:r>
      <w:r>
        <w:rPr>
          <w:szCs w:val="22"/>
        </w:rPr>
        <w:t xml:space="preserve">whose registered office is at </w:t>
      </w:r>
      <w:r w:rsidR="00386240" w:rsidRPr="00B34B92">
        <w:rPr>
          <w:szCs w:val="22"/>
        </w:rPr>
        <w:t xml:space="preserve">Avenida Elias </w:t>
      </w:r>
      <w:proofErr w:type="spellStart"/>
      <w:r w:rsidR="00386240" w:rsidRPr="00B34B92">
        <w:rPr>
          <w:szCs w:val="22"/>
        </w:rPr>
        <w:t>Garcias</w:t>
      </w:r>
      <w:proofErr w:type="spellEnd"/>
      <w:r w:rsidR="00386240" w:rsidRPr="00B34B92">
        <w:rPr>
          <w:szCs w:val="22"/>
        </w:rPr>
        <w:t>, 91,</w:t>
      </w:r>
      <w:proofErr w:type="gramStart"/>
      <w:r w:rsidR="00386240" w:rsidRPr="00B34B92">
        <w:rPr>
          <w:szCs w:val="22"/>
        </w:rPr>
        <w:t>1.°</w:t>
      </w:r>
      <w:proofErr w:type="gramEnd"/>
      <w:r w:rsidR="00386240" w:rsidRPr="00B34B92">
        <w:rPr>
          <w:szCs w:val="22"/>
        </w:rPr>
        <w:t xml:space="preserve">, </w:t>
      </w:r>
      <w:proofErr w:type="spellStart"/>
      <w:r w:rsidR="00386240" w:rsidRPr="00B34B92">
        <w:rPr>
          <w:szCs w:val="22"/>
        </w:rPr>
        <w:t>Lisboa</w:t>
      </w:r>
      <w:proofErr w:type="spellEnd"/>
      <w:r w:rsidR="00386240" w:rsidRPr="00B34B92">
        <w:rPr>
          <w:szCs w:val="22"/>
        </w:rPr>
        <w:t xml:space="preserve">, </w:t>
      </w:r>
      <w:proofErr w:type="spellStart"/>
      <w:r w:rsidR="00386240" w:rsidRPr="00B34B92">
        <w:rPr>
          <w:szCs w:val="22"/>
        </w:rPr>
        <w:t>Freguesia</w:t>
      </w:r>
      <w:proofErr w:type="spellEnd"/>
      <w:r w:rsidR="00386240" w:rsidRPr="00B34B92">
        <w:rPr>
          <w:szCs w:val="22"/>
        </w:rPr>
        <w:t xml:space="preserve"> de </w:t>
      </w:r>
      <w:proofErr w:type="spellStart"/>
      <w:r w:rsidR="00386240" w:rsidRPr="00B34B92">
        <w:rPr>
          <w:szCs w:val="22"/>
        </w:rPr>
        <w:t>Avenidas</w:t>
      </w:r>
      <w:proofErr w:type="spellEnd"/>
      <w:r w:rsidR="00386240" w:rsidRPr="00B34B92">
        <w:rPr>
          <w:szCs w:val="22"/>
        </w:rPr>
        <w:t xml:space="preserve"> </w:t>
      </w:r>
      <w:proofErr w:type="spellStart"/>
      <w:r w:rsidR="00386240" w:rsidRPr="00B34B92">
        <w:rPr>
          <w:szCs w:val="22"/>
        </w:rPr>
        <w:t>Novas</w:t>
      </w:r>
      <w:proofErr w:type="spellEnd"/>
      <w:r w:rsidR="00386240" w:rsidRPr="00B34B92">
        <w:rPr>
          <w:szCs w:val="22"/>
        </w:rPr>
        <w:t xml:space="preserve">, Concelho de </w:t>
      </w:r>
      <w:proofErr w:type="spellStart"/>
      <w:r w:rsidR="00386240" w:rsidRPr="00B34B92">
        <w:rPr>
          <w:szCs w:val="22"/>
        </w:rPr>
        <w:t>Lisboa</w:t>
      </w:r>
      <w:proofErr w:type="spellEnd"/>
      <w:r w:rsidR="00386240" w:rsidRPr="00B34B92">
        <w:rPr>
          <w:szCs w:val="22"/>
        </w:rPr>
        <w:t>, Portugal</w:t>
      </w:r>
      <w:r>
        <w:rPr>
          <w:szCs w:val="22"/>
        </w:rPr>
        <w:t>.</w:t>
      </w:r>
    </w:p>
    <w:p w14:paraId="2040279B" w14:textId="77777777" w:rsidR="009452E2" w:rsidRPr="009452E2" w:rsidRDefault="009452E2" w:rsidP="00DC6D61">
      <w:pPr>
        <w:pStyle w:val="DefinedTermPara"/>
        <w:spacing w:before="60"/>
        <w:rPr>
          <w:rFonts w:eastAsia="Arial"/>
          <w:b/>
          <w:szCs w:val="22"/>
        </w:rPr>
      </w:pPr>
      <w:r w:rsidRPr="009452E2">
        <w:rPr>
          <w:b/>
          <w:szCs w:val="22"/>
        </w:rPr>
        <w:t>Investment</w:t>
      </w:r>
      <w:r>
        <w:rPr>
          <w:szCs w:val="22"/>
        </w:rPr>
        <w:t xml:space="preserve">: the investment provided by the Investor to the </w:t>
      </w:r>
      <w:r w:rsidRPr="006E2F47">
        <w:rPr>
          <w:szCs w:val="22"/>
        </w:rPr>
        <w:t>Company</w:t>
      </w:r>
      <w:r>
        <w:rPr>
          <w:szCs w:val="22"/>
        </w:rPr>
        <w:t xml:space="preserve"> in accordance with the terms of this agreement.</w:t>
      </w:r>
    </w:p>
    <w:p w14:paraId="583C21C6" w14:textId="77777777" w:rsidR="009452E2" w:rsidRPr="00610C1A" w:rsidRDefault="009452E2" w:rsidP="00DC6D61">
      <w:pPr>
        <w:pStyle w:val="DefinedTermPara"/>
        <w:spacing w:before="60"/>
        <w:rPr>
          <w:rFonts w:eastAsia="Arial"/>
          <w:b/>
          <w:szCs w:val="22"/>
        </w:rPr>
      </w:pPr>
      <w:r w:rsidRPr="009452E2">
        <w:rPr>
          <w:b/>
          <w:szCs w:val="22"/>
        </w:rPr>
        <w:t>Investment Proposal</w:t>
      </w:r>
      <w:r>
        <w:rPr>
          <w:szCs w:val="22"/>
        </w:rPr>
        <w:t>: the investment proposal detailing the Investment prepared by the Company</w:t>
      </w:r>
      <w:r w:rsidR="00A20C52">
        <w:rPr>
          <w:szCs w:val="22"/>
        </w:rPr>
        <w:t xml:space="preserve"> and the Founders</w:t>
      </w:r>
      <w:r>
        <w:rPr>
          <w:szCs w:val="22"/>
        </w:rPr>
        <w:t xml:space="preserve"> and annexed to this agreement.</w:t>
      </w:r>
    </w:p>
    <w:p w14:paraId="15E8992D" w14:textId="77777777" w:rsidR="00610C1A" w:rsidRPr="00610C1A" w:rsidRDefault="00610C1A" w:rsidP="00DC6D61">
      <w:pPr>
        <w:pStyle w:val="DefinedTermPara"/>
        <w:spacing w:before="60"/>
        <w:rPr>
          <w:rFonts w:eastAsia="Arial"/>
          <w:b/>
          <w:szCs w:val="22"/>
        </w:rPr>
      </w:pPr>
      <w:r w:rsidRPr="00634516">
        <w:rPr>
          <w:b/>
          <w:szCs w:val="22"/>
        </w:rPr>
        <w:t>Long Stop Date</w:t>
      </w:r>
      <w:r>
        <w:rPr>
          <w:szCs w:val="22"/>
        </w:rPr>
        <w:t xml:space="preserve">: means the later of: </w:t>
      </w:r>
    </w:p>
    <w:p w14:paraId="17490A93" w14:textId="77777777" w:rsidR="00610C1A" w:rsidRPr="00FA5D91" w:rsidRDefault="00634516" w:rsidP="00610C1A">
      <w:pPr>
        <w:pStyle w:val="DefinedTermNumber"/>
      </w:pPr>
      <w:r w:rsidRPr="00FA5D91">
        <w:t>Practical Completion; and</w:t>
      </w:r>
    </w:p>
    <w:p w14:paraId="682757DB" w14:textId="77777777" w:rsidR="00634516" w:rsidRDefault="006A301D" w:rsidP="00610C1A">
      <w:pPr>
        <w:pStyle w:val="DefinedTermNumber"/>
      </w:pPr>
      <w:r>
        <w:t xml:space="preserve">100% of the </w:t>
      </w:r>
      <w:r w:rsidR="00634516" w:rsidRPr="00FA5D91">
        <w:t>completion</w:t>
      </w:r>
      <w:r>
        <w:t xml:space="preserve"> proceeds being received </w:t>
      </w:r>
      <w:r w:rsidR="00D12DB5">
        <w:t xml:space="preserve">from </w:t>
      </w:r>
      <w:r w:rsidR="00D12DB5" w:rsidRPr="00FA5D91">
        <w:t>the</w:t>
      </w:r>
      <w:r w:rsidR="00634516" w:rsidRPr="00FA5D91">
        <w:t xml:space="preserve"> Sale of the final residential unit </w:t>
      </w:r>
      <w:r>
        <w:t xml:space="preserve">or retail unit </w:t>
      </w:r>
      <w:r w:rsidR="00634516" w:rsidRPr="00FA5D91">
        <w:t>at the Property</w:t>
      </w:r>
      <w:r>
        <w:t>, whichever is the last remaining unit to be sold</w:t>
      </w:r>
      <w:r w:rsidR="00634516" w:rsidRPr="00FA5D91">
        <w:t>.</w:t>
      </w:r>
    </w:p>
    <w:p w14:paraId="48625E13" w14:textId="77777777" w:rsidR="008D05B4" w:rsidRPr="00FA5D91" w:rsidRDefault="008D05B4" w:rsidP="00D12DB5">
      <w:pPr>
        <w:pStyle w:val="DefinedTermNumber"/>
        <w:numPr>
          <w:ilvl w:val="0"/>
          <w:numId w:val="0"/>
        </w:numPr>
        <w:ind w:left="720"/>
      </w:pPr>
      <w:r w:rsidRPr="001D03E8">
        <w:rPr>
          <w:b/>
        </w:rPr>
        <w:t>Net Income</w:t>
      </w:r>
      <w:r>
        <w:t xml:space="preserve">: means the net income statement </w:t>
      </w:r>
      <w:r w:rsidR="006E2F47">
        <w:t>of GM</w:t>
      </w:r>
      <w:r w:rsidR="001E2591">
        <w:t xml:space="preserve"> in respect of the Project and as more particularly defined pursuant to </w:t>
      </w:r>
      <w:r w:rsidR="00EB3B6B">
        <w:t>A</w:t>
      </w:r>
      <w:r w:rsidR="001E2591">
        <w:t>ppendix I</w:t>
      </w:r>
      <w:r w:rsidR="00EB3B6B">
        <w:t>II</w:t>
      </w:r>
      <w:r w:rsidR="001E2591">
        <w:t xml:space="preserve"> – Asset Performance Proforma of the Investment Proposal.</w:t>
      </w:r>
    </w:p>
    <w:p w14:paraId="00BFDFDD" w14:textId="77777777" w:rsidR="00634516" w:rsidRPr="001D03E8" w:rsidRDefault="00634516" w:rsidP="00CE29EE">
      <w:pPr>
        <w:pStyle w:val="DefinedTermPara"/>
        <w:spacing w:before="60"/>
        <w:rPr>
          <w:rFonts w:eastAsia="Arial"/>
          <w:b/>
          <w:szCs w:val="22"/>
        </w:rPr>
      </w:pPr>
      <w:r>
        <w:rPr>
          <w:rFonts w:eastAsia="Arial"/>
          <w:b/>
          <w:szCs w:val="22"/>
        </w:rPr>
        <w:t xml:space="preserve">Practical Completion: </w:t>
      </w:r>
      <w:r>
        <w:rPr>
          <w:rFonts w:eastAsia="Arial"/>
          <w:szCs w:val="22"/>
        </w:rPr>
        <w:t xml:space="preserve">the date on which the Project is complete for all practical purposes and </w:t>
      </w:r>
      <w:proofErr w:type="gramStart"/>
      <w:r>
        <w:rPr>
          <w:rFonts w:eastAsia="Arial"/>
          <w:szCs w:val="22"/>
        </w:rPr>
        <w:t>in particular all</w:t>
      </w:r>
      <w:proofErr w:type="gramEnd"/>
      <w:r>
        <w:rPr>
          <w:rFonts w:eastAsia="Arial"/>
          <w:szCs w:val="22"/>
        </w:rPr>
        <w:t xml:space="preserve"> relevant statutory requirements have been complied with and all necessary consents and approvals have been obtained.</w:t>
      </w:r>
    </w:p>
    <w:p w14:paraId="5BFBD668" w14:textId="77777777" w:rsidR="00DE60CE" w:rsidRPr="001D03E8" w:rsidRDefault="00DE60CE" w:rsidP="00CE29EE">
      <w:pPr>
        <w:pStyle w:val="DefinedTermPara"/>
        <w:spacing w:before="60"/>
        <w:rPr>
          <w:rFonts w:eastAsia="Arial"/>
          <w:szCs w:val="22"/>
        </w:rPr>
      </w:pPr>
      <w:r w:rsidRPr="00023A1C">
        <w:rPr>
          <w:rFonts w:eastAsia="Arial"/>
          <w:b/>
          <w:szCs w:val="22"/>
        </w:rPr>
        <w:t>Principal Investment</w:t>
      </w:r>
      <w:r w:rsidRPr="001D03E8">
        <w:rPr>
          <w:rFonts w:eastAsia="Arial"/>
          <w:szCs w:val="22"/>
        </w:rPr>
        <w:t>: the amount</w:t>
      </w:r>
      <w:r w:rsidR="00A35797" w:rsidRPr="001D03E8">
        <w:rPr>
          <w:rFonts w:eastAsia="Arial"/>
          <w:szCs w:val="22"/>
        </w:rPr>
        <w:t xml:space="preserve"> the Investor has agreed to invest as part of the Aggregate Investment Sum on the Completion Date</w:t>
      </w:r>
      <w:r w:rsidR="00023A1C">
        <w:rPr>
          <w:rFonts w:eastAsia="Arial"/>
          <w:szCs w:val="22"/>
        </w:rPr>
        <w:t xml:space="preserve"> and more particularly defined in Recital F.</w:t>
      </w:r>
    </w:p>
    <w:p w14:paraId="675D4BAA" w14:textId="77777777" w:rsidR="00CE29EE" w:rsidRPr="00CE29EE" w:rsidRDefault="00CE29EE" w:rsidP="00CE29EE">
      <w:pPr>
        <w:pStyle w:val="DefinedTermPara"/>
        <w:spacing w:before="60"/>
        <w:rPr>
          <w:rFonts w:eastAsia="Arial"/>
          <w:b/>
          <w:szCs w:val="22"/>
        </w:rPr>
      </w:pPr>
      <w:r w:rsidRPr="00CE29EE">
        <w:rPr>
          <w:b/>
          <w:szCs w:val="22"/>
        </w:rPr>
        <w:t>Profit:</w:t>
      </w:r>
      <w:r>
        <w:rPr>
          <w:szCs w:val="22"/>
        </w:rPr>
        <w:t xml:space="preserve"> </w:t>
      </w:r>
      <w:r w:rsidR="00EB3B6B">
        <w:rPr>
          <w:szCs w:val="22"/>
        </w:rPr>
        <w:t xml:space="preserve">calculated as follows. </w:t>
      </w:r>
      <w:r w:rsidR="00023A1C">
        <w:rPr>
          <w:szCs w:val="22"/>
        </w:rPr>
        <w:t xml:space="preserve">Relevant Proportion </w:t>
      </w:r>
      <w:r w:rsidR="005D4A34">
        <w:rPr>
          <w:szCs w:val="22"/>
        </w:rPr>
        <w:t>applied to the following</w:t>
      </w:r>
      <w:r>
        <w:rPr>
          <w:szCs w:val="22"/>
        </w:rPr>
        <w:t>:</w:t>
      </w:r>
    </w:p>
    <w:p w14:paraId="012CB60B" w14:textId="77777777" w:rsidR="00CE29EE" w:rsidRDefault="00CE29EE" w:rsidP="00CE29EE">
      <w:pPr>
        <w:pStyle w:val="DefinedTermNumber"/>
        <w:numPr>
          <w:ilvl w:val="0"/>
          <w:numId w:val="0"/>
        </w:numPr>
        <w:ind w:left="1554"/>
        <w:rPr>
          <w:rStyle w:val="DefTerm"/>
          <w:rFonts w:ascii="Calibri" w:hAnsi="Calibri"/>
          <w:b w:val="0"/>
          <w:szCs w:val="22"/>
        </w:rPr>
      </w:pPr>
      <w:r>
        <w:rPr>
          <w:rStyle w:val="DefTerm"/>
          <w:rFonts w:ascii="Calibri" w:hAnsi="Calibri"/>
          <w:b w:val="0"/>
          <w:szCs w:val="22"/>
        </w:rPr>
        <w:t xml:space="preserve">Net Income </w:t>
      </w:r>
    </w:p>
    <w:p w14:paraId="2B506C16" w14:textId="77777777" w:rsidR="00CE29EE" w:rsidRDefault="00CE29EE" w:rsidP="00CE29EE">
      <w:pPr>
        <w:pStyle w:val="DefinedTermNumber"/>
        <w:numPr>
          <w:ilvl w:val="0"/>
          <w:numId w:val="0"/>
        </w:numPr>
        <w:ind w:left="1554"/>
        <w:rPr>
          <w:rStyle w:val="DefTerm"/>
          <w:rFonts w:ascii="Calibri" w:hAnsi="Calibri"/>
          <w:b w:val="0"/>
          <w:szCs w:val="22"/>
        </w:rPr>
      </w:pPr>
      <w:r>
        <w:rPr>
          <w:rStyle w:val="DefTerm"/>
          <w:rFonts w:ascii="Calibri" w:hAnsi="Calibri"/>
          <w:b w:val="0"/>
          <w:szCs w:val="22"/>
        </w:rPr>
        <w:t>less</w:t>
      </w:r>
    </w:p>
    <w:p w14:paraId="474F424A" w14:textId="77777777" w:rsidR="00CE29EE" w:rsidRPr="00CE29EE" w:rsidRDefault="00CE29EE" w:rsidP="00CE29EE">
      <w:pPr>
        <w:pStyle w:val="DefinedTermNumber"/>
        <w:numPr>
          <w:ilvl w:val="0"/>
          <w:numId w:val="0"/>
        </w:numPr>
        <w:ind w:left="1554"/>
        <w:rPr>
          <w:rStyle w:val="DefTerm"/>
          <w:rFonts w:ascii="Calibri" w:hAnsi="Calibri"/>
          <w:b w:val="0"/>
          <w:szCs w:val="22"/>
        </w:rPr>
      </w:pPr>
      <w:r w:rsidRPr="00CE29EE">
        <w:rPr>
          <w:rStyle w:val="DefTerm"/>
          <w:rFonts w:ascii="Calibri" w:hAnsi="Calibri"/>
          <w:b w:val="0"/>
          <w:szCs w:val="22"/>
        </w:rPr>
        <w:t>Costs</w:t>
      </w:r>
    </w:p>
    <w:p w14:paraId="46AEDC00" w14:textId="77777777" w:rsidR="00CE29EE" w:rsidRPr="00CE29EE" w:rsidRDefault="00CE29EE" w:rsidP="00CE29EE">
      <w:pPr>
        <w:pStyle w:val="DefinedTermNumber"/>
        <w:numPr>
          <w:ilvl w:val="0"/>
          <w:numId w:val="0"/>
        </w:numPr>
        <w:ind w:left="1554"/>
        <w:rPr>
          <w:rStyle w:val="DefTerm"/>
          <w:rFonts w:ascii="Calibri" w:hAnsi="Calibri"/>
          <w:b w:val="0"/>
          <w:szCs w:val="22"/>
        </w:rPr>
      </w:pPr>
      <w:r>
        <w:rPr>
          <w:rStyle w:val="DefTerm"/>
          <w:rFonts w:ascii="Calibri" w:hAnsi="Calibri"/>
          <w:b w:val="0"/>
          <w:szCs w:val="22"/>
        </w:rPr>
        <w:t>l</w:t>
      </w:r>
      <w:r w:rsidRPr="00CE29EE">
        <w:rPr>
          <w:rStyle w:val="DefTerm"/>
          <w:rFonts w:ascii="Calibri" w:hAnsi="Calibri"/>
          <w:b w:val="0"/>
          <w:szCs w:val="22"/>
        </w:rPr>
        <w:t>ess</w:t>
      </w:r>
    </w:p>
    <w:p w14:paraId="3D3AB654" w14:textId="77777777" w:rsidR="00CE29EE" w:rsidRDefault="00CE29EE" w:rsidP="00CE29EE">
      <w:pPr>
        <w:pStyle w:val="DefinedTermNumber"/>
        <w:numPr>
          <w:ilvl w:val="0"/>
          <w:numId w:val="0"/>
        </w:numPr>
        <w:ind w:left="1554"/>
        <w:rPr>
          <w:rStyle w:val="DefTerm"/>
          <w:rFonts w:ascii="Calibri" w:hAnsi="Calibri"/>
          <w:b w:val="0"/>
          <w:szCs w:val="22"/>
        </w:rPr>
      </w:pPr>
      <w:r>
        <w:rPr>
          <w:rStyle w:val="DefTerm"/>
          <w:rFonts w:ascii="Calibri" w:hAnsi="Calibri"/>
          <w:b w:val="0"/>
          <w:szCs w:val="22"/>
        </w:rPr>
        <w:t>t</w:t>
      </w:r>
      <w:r w:rsidRPr="00CE29EE">
        <w:rPr>
          <w:rStyle w:val="DefTerm"/>
          <w:rFonts w:ascii="Calibri" w:hAnsi="Calibri"/>
          <w:b w:val="0"/>
          <w:szCs w:val="22"/>
        </w:rPr>
        <w:t xml:space="preserve">he </w:t>
      </w:r>
      <w:r>
        <w:rPr>
          <w:rStyle w:val="DefTerm"/>
          <w:rFonts w:ascii="Calibri" w:hAnsi="Calibri"/>
          <w:b w:val="0"/>
          <w:szCs w:val="22"/>
        </w:rPr>
        <w:t>Promote due to the Company</w:t>
      </w:r>
      <w:r w:rsidR="005C7D62">
        <w:rPr>
          <w:rStyle w:val="DefTerm"/>
          <w:rFonts w:ascii="Calibri" w:hAnsi="Calibri"/>
          <w:b w:val="0"/>
          <w:szCs w:val="22"/>
        </w:rPr>
        <w:t xml:space="preserve"> (if any)</w:t>
      </w:r>
      <w:r>
        <w:rPr>
          <w:rStyle w:val="DefTerm"/>
          <w:rFonts w:ascii="Calibri" w:hAnsi="Calibri"/>
          <w:b w:val="0"/>
          <w:szCs w:val="22"/>
        </w:rPr>
        <w:t>.</w:t>
      </w:r>
    </w:p>
    <w:p w14:paraId="1071958D" w14:textId="77777777" w:rsidR="00EB3B6B" w:rsidRDefault="005D4A34" w:rsidP="00EB3B6B">
      <w:pPr>
        <w:pStyle w:val="DefinedTermNumber"/>
        <w:numPr>
          <w:ilvl w:val="0"/>
          <w:numId w:val="0"/>
        </w:numPr>
        <w:ind w:left="1554"/>
        <w:rPr>
          <w:rStyle w:val="DefTerm"/>
          <w:rFonts w:ascii="Calibri" w:hAnsi="Calibri"/>
          <w:b w:val="0"/>
          <w:szCs w:val="22"/>
        </w:rPr>
      </w:pPr>
      <w:r>
        <w:rPr>
          <w:rStyle w:val="DefTerm"/>
          <w:rFonts w:ascii="Calibri" w:hAnsi="Calibri"/>
          <w:b w:val="0"/>
          <w:szCs w:val="22"/>
        </w:rPr>
        <w:lastRenderedPageBreak/>
        <w:t xml:space="preserve">For the avoidance of doubt the Profit figure can be a positive or negative integer </w:t>
      </w:r>
    </w:p>
    <w:p w14:paraId="7082FE50" w14:textId="77777777" w:rsidR="00C55152" w:rsidRPr="00EB3B6B" w:rsidRDefault="00C55152" w:rsidP="00EB3B6B">
      <w:pPr>
        <w:pStyle w:val="DefinedTermNumber"/>
        <w:numPr>
          <w:ilvl w:val="0"/>
          <w:numId w:val="0"/>
        </w:numPr>
        <w:ind w:firstLine="720"/>
        <w:rPr>
          <w:szCs w:val="22"/>
        </w:rPr>
      </w:pPr>
      <w:r w:rsidRPr="00C55152">
        <w:rPr>
          <w:b/>
          <w:szCs w:val="22"/>
        </w:rPr>
        <w:t>Property:</w:t>
      </w:r>
      <w:r w:rsidR="00EB3B6B">
        <w:rPr>
          <w:b/>
          <w:szCs w:val="22"/>
        </w:rPr>
        <w:t xml:space="preserve"> </w:t>
      </w:r>
      <w:r w:rsidR="00EB3B6B" w:rsidRPr="00EB3B6B">
        <w:rPr>
          <w:szCs w:val="22"/>
        </w:rPr>
        <w:t xml:space="preserve">Avenida </w:t>
      </w:r>
      <w:proofErr w:type="spellStart"/>
      <w:r w:rsidR="00EB3B6B" w:rsidRPr="00EB3B6B">
        <w:rPr>
          <w:szCs w:val="22"/>
        </w:rPr>
        <w:t>Passos</w:t>
      </w:r>
      <w:proofErr w:type="spellEnd"/>
      <w:r w:rsidR="00EB3B6B" w:rsidRPr="00EB3B6B">
        <w:rPr>
          <w:szCs w:val="22"/>
        </w:rPr>
        <w:t xml:space="preserve"> Manuel 66 – 76</w:t>
      </w:r>
      <w:r w:rsidR="00604E3A">
        <w:rPr>
          <w:szCs w:val="22"/>
        </w:rPr>
        <w:t>, Porto, Portugal</w:t>
      </w:r>
      <w:r w:rsidR="008652C6">
        <w:rPr>
          <w:szCs w:val="22"/>
        </w:rPr>
        <w:t>.</w:t>
      </w:r>
    </w:p>
    <w:p w14:paraId="6C6336D3" w14:textId="77777777" w:rsidR="008652C6" w:rsidRPr="005C7D62" w:rsidRDefault="008652C6" w:rsidP="00DC6D61">
      <w:pPr>
        <w:pStyle w:val="DefinedTermPara"/>
        <w:spacing w:before="60"/>
        <w:rPr>
          <w:rFonts w:eastAsia="Arial"/>
          <w:b/>
          <w:szCs w:val="22"/>
        </w:rPr>
      </w:pPr>
      <w:r w:rsidRPr="008652C6">
        <w:rPr>
          <w:b/>
          <w:szCs w:val="22"/>
        </w:rPr>
        <w:t>Project</w:t>
      </w:r>
      <w:r>
        <w:rPr>
          <w:szCs w:val="22"/>
        </w:rPr>
        <w:t>: the construction of 33 residential apartments and one retail unit at the Property</w:t>
      </w:r>
      <w:r w:rsidR="00A35797">
        <w:rPr>
          <w:szCs w:val="22"/>
        </w:rPr>
        <w:t xml:space="preserve"> being owned by GM</w:t>
      </w:r>
      <w:r>
        <w:rPr>
          <w:szCs w:val="22"/>
        </w:rPr>
        <w:t xml:space="preserve"> as more particularly described in the Investment Proposal.</w:t>
      </w:r>
    </w:p>
    <w:p w14:paraId="353B2EEB" w14:textId="77777777" w:rsidR="005C7D62" w:rsidRPr="001D03E8" w:rsidRDefault="005C7D62" w:rsidP="00DC6D61">
      <w:pPr>
        <w:pStyle w:val="DefinedTermPara"/>
        <w:spacing w:before="60"/>
        <w:rPr>
          <w:rFonts w:eastAsia="Arial" w:cs="Arial"/>
          <w:b/>
          <w:color w:val="000000"/>
          <w:szCs w:val="22"/>
        </w:rPr>
      </w:pPr>
      <w:r w:rsidRPr="005C7D62">
        <w:rPr>
          <w:b/>
          <w:szCs w:val="22"/>
        </w:rPr>
        <w:t>Promote</w:t>
      </w:r>
      <w:r>
        <w:rPr>
          <w:szCs w:val="22"/>
        </w:rPr>
        <w:t xml:space="preserve">: in the event the Investor receives Profit calculated to an amount in excess of </w:t>
      </w:r>
      <w:r w:rsidR="005D4A34">
        <w:rPr>
          <w:szCs w:val="22"/>
        </w:rPr>
        <w:t>15</w:t>
      </w:r>
      <w:r>
        <w:rPr>
          <w:szCs w:val="22"/>
        </w:rPr>
        <w:t>% (“</w:t>
      </w:r>
      <w:r w:rsidRPr="005C7D62">
        <w:rPr>
          <w:b/>
          <w:szCs w:val="22"/>
        </w:rPr>
        <w:t>Threshold</w:t>
      </w:r>
      <w:r>
        <w:rPr>
          <w:b/>
          <w:szCs w:val="22"/>
        </w:rPr>
        <w:t>”</w:t>
      </w:r>
      <w:r>
        <w:rPr>
          <w:szCs w:val="22"/>
        </w:rPr>
        <w:t>) of the Principal Investment, the Company shall receive a fee equal to 30% of any amount of Profit over and above the Threshold</w:t>
      </w:r>
      <w:r w:rsidR="005D4A34">
        <w:rPr>
          <w:szCs w:val="22"/>
        </w:rPr>
        <w:t xml:space="preserve"> (</w:t>
      </w:r>
      <w:r w:rsidR="005D4A34">
        <w:rPr>
          <w:rStyle w:val="DefTerm"/>
          <w:rFonts w:ascii="Calibri" w:hAnsi="Calibri"/>
          <w:b w:val="0"/>
          <w:szCs w:val="22"/>
        </w:rPr>
        <w:t xml:space="preserve">an illustrative calculation of </w:t>
      </w:r>
      <w:r w:rsidR="00604E3A">
        <w:rPr>
          <w:rStyle w:val="DefTerm"/>
          <w:rFonts w:ascii="Calibri" w:hAnsi="Calibri"/>
          <w:b w:val="0"/>
          <w:szCs w:val="22"/>
        </w:rPr>
        <w:t>the Promote</w:t>
      </w:r>
      <w:r w:rsidR="005D4A34">
        <w:rPr>
          <w:rStyle w:val="DefTerm"/>
          <w:rFonts w:ascii="Calibri" w:hAnsi="Calibri"/>
          <w:b w:val="0"/>
          <w:szCs w:val="22"/>
        </w:rPr>
        <w:t xml:space="preserve"> is included in </w:t>
      </w:r>
      <w:r w:rsidR="00604E3A">
        <w:rPr>
          <w:rStyle w:val="DefTerm"/>
          <w:rFonts w:ascii="Calibri" w:hAnsi="Calibri"/>
          <w:b w:val="0"/>
          <w:szCs w:val="22"/>
        </w:rPr>
        <w:t>A</w:t>
      </w:r>
      <w:r w:rsidR="005D4A34">
        <w:rPr>
          <w:rStyle w:val="DefTerm"/>
          <w:rFonts w:ascii="Calibri" w:hAnsi="Calibri"/>
          <w:b w:val="0"/>
          <w:szCs w:val="22"/>
        </w:rPr>
        <w:t>ppendix IV of the Investment Proposal).</w:t>
      </w:r>
    </w:p>
    <w:p w14:paraId="3A83C75C" w14:textId="77777777" w:rsidR="006E2F47" w:rsidRPr="00DC6D61" w:rsidRDefault="006E2F47" w:rsidP="00DC6D61">
      <w:pPr>
        <w:pStyle w:val="DefinedTermPara"/>
        <w:spacing w:before="60"/>
        <w:rPr>
          <w:rStyle w:val="DefTerm"/>
          <w:rFonts w:ascii="Calibri" w:hAnsi="Calibri"/>
          <w:szCs w:val="22"/>
        </w:rPr>
      </w:pPr>
      <w:r w:rsidRPr="001D03E8">
        <w:rPr>
          <w:b/>
          <w:szCs w:val="22"/>
        </w:rPr>
        <w:t>Relevant Proportion:</w:t>
      </w:r>
      <w:r>
        <w:rPr>
          <w:szCs w:val="22"/>
        </w:rPr>
        <w:t xml:space="preserve"> means the proportion of the Principal Investment to the Aggregate Investment Sum calculated as a percentage</w:t>
      </w:r>
      <w:r w:rsidR="00023A1C">
        <w:rPr>
          <w:szCs w:val="22"/>
        </w:rPr>
        <w:t>.</w:t>
      </w:r>
    </w:p>
    <w:p w14:paraId="6C83F407" w14:textId="77777777" w:rsidR="00C55152" w:rsidRPr="00C55152" w:rsidRDefault="00DC6D61" w:rsidP="00DC6D61">
      <w:pPr>
        <w:pStyle w:val="DefinedTermPara"/>
        <w:spacing w:before="60"/>
        <w:rPr>
          <w:rFonts w:eastAsia="Arial"/>
          <w:b/>
          <w:szCs w:val="22"/>
        </w:rPr>
      </w:pPr>
      <w:bookmarkStart w:id="18" w:name="a530666"/>
      <w:r w:rsidRPr="00DC6D61">
        <w:rPr>
          <w:rStyle w:val="DefTerm"/>
          <w:rFonts w:ascii="Calibri" w:hAnsi="Calibri"/>
          <w:szCs w:val="22"/>
        </w:rPr>
        <w:t>Sale</w:t>
      </w:r>
      <w:r w:rsidRPr="00DC6D61">
        <w:rPr>
          <w:szCs w:val="22"/>
        </w:rPr>
        <w:t xml:space="preserve">: a sale (or the grant of a right to acquire or dispose of) any of the </w:t>
      </w:r>
      <w:r w:rsidR="00604E3A">
        <w:rPr>
          <w:szCs w:val="22"/>
        </w:rPr>
        <w:t>self-contained</w:t>
      </w:r>
      <w:r w:rsidR="00C55152">
        <w:rPr>
          <w:szCs w:val="22"/>
        </w:rPr>
        <w:t xml:space="preserve"> residential units to be developed at the Property and in a</w:t>
      </w:r>
      <w:r w:rsidR="008652C6">
        <w:rPr>
          <w:szCs w:val="22"/>
        </w:rPr>
        <w:t>ccordance with the Investment Proposal</w:t>
      </w:r>
      <w:r w:rsidR="00C55152">
        <w:rPr>
          <w:szCs w:val="22"/>
        </w:rPr>
        <w:t>.</w:t>
      </w:r>
    </w:p>
    <w:p w14:paraId="1D35A80E" w14:textId="77777777" w:rsidR="00DC6D61" w:rsidRPr="00DC6D61" w:rsidRDefault="00DC6D61" w:rsidP="00DC6D61">
      <w:pPr>
        <w:pStyle w:val="DefinedTermPara"/>
        <w:spacing w:before="60"/>
        <w:rPr>
          <w:rStyle w:val="DefTerm"/>
          <w:rFonts w:ascii="Calibri" w:hAnsi="Calibri"/>
          <w:szCs w:val="22"/>
        </w:rPr>
      </w:pPr>
      <w:bookmarkStart w:id="19" w:name="a274952"/>
      <w:bookmarkEnd w:id="18"/>
      <w:r w:rsidRPr="00DC6D61">
        <w:rPr>
          <w:rStyle w:val="DefTerm"/>
          <w:rFonts w:ascii="Calibri" w:hAnsi="Calibri"/>
          <w:szCs w:val="22"/>
        </w:rPr>
        <w:t>Subsidiary</w:t>
      </w:r>
      <w:r w:rsidRPr="00DC6D61">
        <w:rPr>
          <w:rStyle w:val="DefTerm"/>
          <w:rFonts w:ascii="Calibri" w:hAnsi="Calibri"/>
          <w:szCs w:val="22"/>
        </w:rPr>
        <w:fldChar w:fldCharType="begin"/>
      </w:r>
      <w:r w:rsidRPr="00DC6D61">
        <w:rPr>
          <w:rStyle w:val="DefTerm"/>
          <w:rFonts w:ascii="Calibri" w:hAnsi="Calibri"/>
          <w:szCs w:val="22"/>
        </w:rPr>
        <w:instrText xml:space="preserve"> MACROBUTTON optional </w:instrText>
      </w:r>
      <w:r w:rsidRPr="00DC6D61">
        <w:rPr>
          <w:rStyle w:val="DefTerm"/>
          <w:rFonts w:ascii="Calibri" w:hAnsi="Calibri"/>
          <w:szCs w:val="22"/>
        </w:rPr>
        <w:fldChar w:fldCharType="end"/>
      </w:r>
      <w:r w:rsidRPr="00DC6D61">
        <w:rPr>
          <w:szCs w:val="22"/>
        </w:rPr>
        <w:t>: a subsidiary of the Company, as defin</w:t>
      </w:r>
      <w:r w:rsidR="009452E2">
        <w:rPr>
          <w:szCs w:val="22"/>
        </w:rPr>
        <w:t xml:space="preserve">ed in section 1159 of the Act, </w:t>
      </w:r>
      <w:r w:rsidRPr="00DC6D61">
        <w:rPr>
          <w:szCs w:val="22"/>
        </w:rPr>
        <w:t xml:space="preserve">brief particulars of which are set out in </w:t>
      </w:r>
      <w:r w:rsidRPr="00604E3A">
        <w:rPr>
          <w:szCs w:val="22"/>
        </w:rPr>
        <w:fldChar w:fldCharType="begin"/>
      </w:r>
      <w:r w:rsidRPr="00604E3A">
        <w:rPr>
          <w:szCs w:val="22"/>
        </w:rPr>
        <w:instrText>REF a717441 \h \w \n</w:instrText>
      </w:r>
      <w:r w:rsidR="007D20B8" w:rsidRPr="00604E3A">
        <w:rPr>
          <w:szCs w:val="22"/>
        </w:rPr>
        <w:instrText xml:space="preserve"> \* MERGEFORMAT </w:instrText>
      </w:r>
      <w:r w:rsidRPr="00604E3A">
        <w:rPr>
          <w:szCs w:val="22"/>
        </w:rPr>
      </w:r>
      <w:r w:rsidRPr="00604E3A">
        <w:rPr>
          <w:szCs w:val="22"/>
        </w:rPr>
        <w:fldChar w:fldCharType="separate"/>
      </w:r>
      <w:r w:rsidR="002B65AC" w:rsidRPr="00604E3A">
        <w:rPr>
          <w:szCs w:val="22"/>
        </w:rPr>
        <w:t>Part 2</w:t>
      </w:r>
      <w:r w:rsidRPr="00604E3A">
        <w:rPr>
          <w:szCs w:val="22"/>
        </w:rPr>
        <w:fldChar w:fldCharType="end"/>
      </w:r>
      <w:r w:rsidRPr="00604E3A">
        <w:rPr>
          <w:szCs w:val="22"/>
        </w:rPr>
        <w:t xml:space="preserve"> of </w:t>
      </w:r>
      <w:r w:rsidRPr="00604E3A">
        <w:rPr>
          <w:szCs w:val="22"/>
        </w:rPr>
        <w:fldChar w:fldCharType="begin"/>
      </w:r>
      <w:r w:rsidRPr="00604E3A">
        <w:rPr>
          <w:szCs w:val="22"/>
        </w:rPr>
        <w:instrText>REF a452926 \h \w \n</w:instrText>
      </w:r>
      <w:r w:rsidR="007D20B8" w:rsidRPr="00604E3A">
        <w:rPr>
          <w:szCs w:val="22"/>
        </w:rPr>
        <w:instrText xml:space="preserve"> \* MERGEFORMAT </w:instrText>
      </w:r>
      <w:r w:rsidRPr="00604E3A">
        <w:rPr>
          <w:szCs w:val="22"/>
        </w:rPr>
      </w:r>
      <w:r w:rsidRPr="00604E3A">
        <w:rPr>
          <w:szCs w:val="22"/>
        </w:rPr>
        <w:fldChar w:fldCharType="separate"/>
      </w:r>
      <w:r w:rsidR="002B65AC" w:rsidRPr="00604E3A">
        <w:rPr>
          <w:szCs w:val="22"/>
        </w:rPr>
        <w:t>Schedule 2</w:t>
      </w:r>
      <w:r w:rsidRPr="00604E3A">
        <w:rPr>
          <w:szCs w:val="22"/>
        </w:rPr>
        <w:fldChar w:fldCharType="end"/>
      </w:r>
      <w:r w:rsidRPr="00DC6D61">
        <w:rPr>
          <w:szCs w:val="22"/>
        </w:rPr>
        <w:t>.</w:t>
      </w:r>
      <w:bookmarkEnd w:id="19"/>
    </w:p>
    <w:p w14:paraId="2E7CF023" w14:textId="77777777" w:rsidR="00DC6D61" w:rsidRPr="00DC6D61" w:rsidRDefault="00DC6D61" w:rsidP="00DC6D61">
      <w:pPr>
        <w:pStyle w:val="DefinedTermPara"/>
        <w:spacing w:before="60"/>
        <w:rPr>
          <w:rStyle w:val="DefTerm"/>
          <w:rFonts w:ascii="Calibri" w:hAnsi="Calibri"/>
          <w:szCs w:val="22"/>
        </w:rPr>
      </w:pPr>
      <w:bookmarkStart w:id="20" w:name="a651009"/>
      <w:r w:rsidRPr="00DC6D61">
        <w:rPr>
          <w:rStyle w:val="DefTerm"/>
          <w:rFonts w:ascii="Calibri" w:hAnsi="Calibri"/>
          <w:szCs w:val="22"/>
        </w:rPr>
        <w:t>Warranties</w:t>
      </w:r>
      <w:r w:rsidRPr="00DC6D61">
        <w:rPr>
          <w:szCs w:val="22"/>
        </w:rPr>
        <w:t xml:space="preserve">: the warranties, representations and undertakings given pursuant to </w:t>
      </w:r>
      <w:r w:rsidRPr="00B01532">
        <w:rPr>
          <w:szCs w:val="22"/>
        </w:rPr>
        <w:t xml:space="preserve">clause </w:t>
      </w:r>
      <w:r w:rsidRPr="00B01532">
        <w:rPr>
          <w:szCs w:val="22"/>
        </w:rPr>
        <w:fldChar w:fldCharType="begin"/>
      </w:r>
      <w:r w:rsidRPr="00B01532">
        <w:rPr>
          <w:szCs w:val="22"/>
        </w:rPr>
        <w:instrText>REF a1031816 \h \w \n</w:instrText>
      </w:r>
      <w:r w:rsidR="007D20B8" w:rsidRPr="00B01532">
        <w:rPr>
          <w:szCs w:val="22"/>
        </w:rPr>
        <w:instrText xml:space="preserve"> \* MERGEFORMAT </w:instrText>
      </w:r>
      <w:r w:rsidRPr="00B01532">
        <w:rPr>
          <w:szCs w:val="22"/>
        </w:rPr>
      </w:r>
      <w:r w:rsidRPr="00B01532">
        <w:rPr>
          <w:szCs w:val="22"/>
        </w:rPr>
        <w:fldChar w:fldCharType="separate"/>
      </w:r>
      <w:r w:rsidR="002B65AC" w:rsidRPr="00B01532">
        <w:rPr>
          <w:szCs w:val="22"/>
        </w:rPr>
        <w:t>3</w:t>
      </w:r>
      <w:r w:rsidRPr="00B01532">
        <w:rPr>
          <w:szCs w:val="22"/>
        </w:rPr>
        <w:fldChar w:fldCharType="end"/>
      </w:r>
      <w:r w:rsidRPr="00DC6D61">
        <w:rPr>
          <w:szCs w:val="22"/>
        </w:rPr>
        <w:t xml:space="preserve">, and references to a particular </w:t>
      </w:r>
      <w:r w:rsidRPr="00DC6D61">
        <w:rPr>
          <w:rStyle w:val="DefTerm"/>
          <w:rFonts w:ascii="Calibri" w:hAnsi="Calibri"/>
          <w:szCs w:val="22"/>
        </w:rPr>
        <w:t>Warranty</w:t>
      </w:r>
      <w:r w:rsidRPr="00DC6D61">
        <w:rPr>
          <w:szCs w:val="22"/>
        </w:rPr>
        <w:t xml:space="preserve"> are to a warranty statement set out in </w:t>
      </w:r>
      <w:r w:rsidRPr="00B01532">
        <w:rPr>
          <w:szCs w:val="22"/>
        </w:rPr>
        <w:fldChar w:fldCharType="begin"/>
      </w:r>
      <w:r w:rsidRPr="00B01532">
        <w:rPr>
          <w:szCs w:val="22"/>
        </w:rPr>
        <w:instrText>REF a151368 \h \w \n</w:instrText>
      </w:r>
      <w:r w:rsidR="007D20B8" w:rsidRPr="00B01532">
        <w:rPr>
          <w:szCs w:val="22"/>
        </w:rPr>
        <w:instrText xml:space="preserve"> \* MERGEFORMAT </w:instrText>
      </w:r>
      <w:r w:rsidRPr="00B01532">
        <w:rPr>
          <w:szCs w:val="22"/>
        </w:rPr>
      </w:r>
      <w:r w:rsidRPr="00B01532">
        <w:rPr>
          <w:szCs w:val="22"/>
        </w:rPr>
        <w:fldChar w:fldCharType="separate"/>
      </w:r>
      <w:r w:rsidR="002B65AC" w:rsidRPr="00B01532">
        <w:rPr>
          <w:szCs w:val="22"/>
        </w:rPr>
        <w:t xml:space="preserve">Schedule </w:t>
      </w:r>
      <w:r w:rsidRPr="00B01532">
        <w:rPr>
          <w:szCs w:val="22"/>
        </w:rPr>
        <w:fldChar w:fldCharType="end"/>
      </w:r>
      <w:r w:rsidR="00B01532" w:rsidRPr="00B01532">
        <w:rPr>
          <w:szCs w:val="22"/>
        </w:rPr>
        <w:t>3</w:t>
      </w:r>
      <w:r w:rsidRPr="00DC6D61">
        <w:rPr>
          <w:szCs w:val="22"/>
        </w:rPr>
        <w:t>.</w:t>
      </w:r>
      <w:bookmarkEnd w:id="20"/>
    </w:p>
    <w:p w14:paraId="0A153A65" w14:textId="77777777" w:rsidR="00DC6D61" w:rsidRPr="00DC6D61" w:rsidRDefault="00DC6D61" w:rsidP="00DC6D61">
      <w:pPr>
        <w:pStyle w:val="DefinedTermPara"/>
        <w:spacing w:before="60"/>
        <w:rPr>
          <w:rStyle w:val="DefTerm"/>
          <w:rFonts w:ascii="Calibri" w:hAnsi="Calibri"/>
          <w:szCs w:val="22"/>
        </w:rPr>
      </w:pPr>
      <w:bookmarkStart w:id="21" w:name="a246297"/>
      <w:r w:rsidRPr="00DC6D61">
        <w:rPr>
          <w:rStyle w:val="DefTerm"/>
          <w:rFonts w:ascii="Calibri" w:hAnsi="Calibri"/>
          <w:szCs w:val="22"/>
        </w:rPr>
        <w:t>Warrantors</w:t>
      </w:r>
      <w:r w:rsidR="009452E2">
        <w:rPr>
          <w:szCs w:val="22"/>
        </w:rPr>
        <w:t xml:space="preserve">: means the Company and each of </w:t>
      </w:r>
      <w:r w:rsidRPr="00DC6D61">
        <w:rPr>
          <w:szCs w:val="22"/>
        </w:rPr>
        <w:t>the Founders.</w:t>
      </w:r>
      <w:bookmarkEnd w:id="21"/>
    </w:p>
    <w:p w14:paraId="6B6DF9B3" w14:textId="77777777" w:rsidR="00DC6D61" w:rsidRPr="00DC6D61" w:rsidRDefault="00DC6D61" w:rsidP="00DC6D61">
      <w:pPr>
        <w:pStyle w:val="Untitledsubclause1"/>
        <w:rPr>
          <w:szCs w:val="22"/>
        </w:rPr>
      </w:pPr>
      <w:bookmarkStart w:id="22" w:name="a824730"/>
      <w:r w:rsidRPr="00DC6D61">
        <w:rPr>
          <w:szCs w:val="22"/>
        </w:rPr>
        <w:t xml:space="preserve">Clause, Schedule and paragraph headings shall not affect the interpretation of this agreement. </w:t>
      </w:r>
      <w:bookmarkEnd w:id="22"/>
    </w:p>
    <w:p w14:paraId="75112D07" w14:textId="77777777" w:rsidR="00DC6D61" w:rsidRPr="00DC6D61" w:rsidRDefault="00DC6D61" w:rsidP="00DC6D61">
      <w:pPr>
        <w:pStyle w:val="Untitledsubclause1"/>
        <w:rPr>
          <w:szCs w:val="22"/>
        </w:rPr>
      </w:pPr>
      <w:bookmarkStart w:id="23" w:name="a616505"/>
      <w:r w:rsidRPr="00DC6D61">
        <w:rPr>
          <w:szCs w:val="22"/>
        </w:rPr>
        <w:t>References to clauses and Schedules are to clauses of and Schedules to this agreement and references to paragraphs are to paragraphs of the relevant Schedule.</w:t>
      </w:r>
      <w:bookmarkEnd w:id="23"/>
    </w:p>
    <w:p w14:paraId="2EF9600D" w14:textId="77777777" w:rsidR="00DC6D61" w:rsidRPr="00DC6D61" w:rsidRDefault="00DC6D61" w:rsidP="00DC6D61">
      <w:pPr>
        <w:pStyle w:val="Untitledsubclause1"/>
        <w:rPr>
          <w:szCs w:val="22"/>
        </w:rPr>
      </w:pPr>
      <w:bookmarkStart w:id="24" w:name="a547015"/>
      <w:r w:rsidRPr="00DC6D61">
        <w:rPr>
          <w:szCs w:val="22"/>
        </w:rPr>
        <w:t xml:space="preserve">The Schedules form part of this agreement and shall have effect as if set out in full in the body of this agreement. Any reference to this agreement includes the Schedules. </w:t>
      </w:r>
      <w:bookmarkEnd w:id="24"/>
    </w:p>
    <w:p w14:paraId="2FE6ABF7" w14:textId="77777777" w:rsidR="00DC6D61" w:rsidRPr="00DC6D61" w:rsidRDefault="00DC6D61" w:rsidP="00DC6D61">
      <w:pPr>
        <w:pStyle w:val="Untitledsubclause1"/>
        <w:rPr>
          <w:szCs w:val="22"/>
        </w:rPr>
      </w:pPr>
      <w:bookmarkStart w:id="25" w:name="a596377"/>
      <w:r w:rsidRPr="00DC6D61">
        <w:rPr>
          <w:szCs w:val="22"/>
        </w:rPr>
        <w:t>A reference to this agreement or to any other agreement or document referred to in this agreement is a reference to this agreement or such other agreement or document as varied or novated in accordance with its terms from time to time.</w:t>
      </w:r>
      <w:bookmarkEnd w:id="25"/>
    </w:p>
    <w:p w14:paraId="3F5FE305" w14:textId="77777777" w:rsidR="00DC6D61" w:rsidRPr="00DC6D61" w:rsidRDefault="00DC6D61" w:rsidP="00DC6D61">
      <w:pPr>
        <w:pStyle w:val="Untitledsubclause1"/>
        <w:rPr>
          <w:szCs w:val="22"/>
        </w:rPr>
      </w:pPr>
      <w:bookmarkStart w:id="26" w:name="a617842"/>
      <w:r w:rsidRPr="00DC6D61">
        <w:rPr>
          <w:szCs w:val="22"/>
        </w:rPr>
        <w:t xml:space="preserve">Unless the context otherwise requires, a reference to one gender shall include a reference to the other genders. </w:t>
      </w:r>
      <w:bookmarkEnd w:id="26"/>
    </w:p>
    <w:p w14:paraId="5C950ACF" w14:textId="77777777" w:rsidR="00DC6D61" w:rsidRPr="00DC6D61" w:rsidRDefault="00DC6D61" w:rsidP="00DC6D61">
      <w:pPr>
        <w:pStyle w:val="Untitledsubclause1"/>
        <w:rPr>
          <w:szCs w:val="22"/>
        </w:rPr>
      </w:pPr>
      <w:bookmarkStart w:id="27" w:name="a580044"/>
      <w:r w:rsidRPr="00DC6D61">
        <w:rPr>
          <w:szCs w:val="22"/>
        </w:rPr>
        <w:t xml:space="preserve">A </w:t>
      </w:r>
      <w:r w:rsidRPr="00DC6D61">
        <w:rPr>
          <w:b/>
          <w:szCs w:val="22"/>
        </w:rPr>
        <w:t>person</w:t>
      </w:r>
      <w:r w:rsidRPr="00DC6D61">
        <w:rPr>
          <w:szCs w:val="22"/>
        </w:rPr>
        <w:t xml:space="preserve"> includes a natural person, corporate or unincorporated body (</w:t>
      </w:r>
      <w:proofErr w:type="gramStart"/>
      <w:r w:rsidRPr="00DC6D61">
        <w:rPr>
          <w:szCs w:val="22"/>
        </w:rPr>
        <w:t>whether or not</w:t>
      </w:r>
      <w:proofErr w:type="gramEnd"/>
      <w:r w:rsidRPr="00DC6D61">
        <w:rPr>
          <w:szCs w:val="22"/>
        </w:rPr>
        <w:t xml:space="preserve"> having separate legal personality). </w:t>
      </w:r>
      <w:bookmarkEnd w:id="27"/>
    </w:p>
    <w:p w14:paraId="5CCC98CA" w14:textId="77777777" w:rsidR="00DC6D61" w:rsidRPr="00DC6D61" w:rsidRDefault="00DC6D61" w:rsidP="00DC6D61">
      <w:pPr>
        <w:pStyle w:val="Untitledsubclause1"/>
        <w:rPr>
          <w:szCs w:val="22"/>
        </w:rPr>
      </w:pPr>
      <w:bookmarkStart w:id="28" w:name="a818169"/>
      <w:r w:rsidRPr="00DC6D61">
        <w:rPr>
          <w:szCs w:val="22"/>
        </w:rPr>
        <w:t xml:space="preserve">This agreement shall be binding on, and </w:t>
      </w:r>
      <w:proofErr w:type="spellStart"/>
      <w:r w:rsidRPr="00DC6D61">
        <w:rPr>
          <w:szCs w:val="22"/>
        </w:rPr>
        <w:t>enure</w:t>
      </w:r>
      <w:proofErr w:type="spellEnd"/>
      <w:r w:rsidRPr="00DC6D61">
        <w:rPr>
          <w:szCs w:val="22"/>
        </w:rPr>
        <w:t xml:space="preserve"> to the benefit of, the parties to this agreement and their respective personal representatives, successors and permitted assigns, and references to any party shall include that party's personal representatives, successors and permitted assigns.</w:t>
      </w:r>
      <w:bookmarkEnd w:id="28"/>
    </w:p>
    <w:p w14:paraId="300E654F" w14:textId="77777777" w:rsidR="00DC6D61" w:rsidRPr="00DC6D61" w:rsidRDefault="00DC6D61" w:rsidP="00DC6D61">
      <w:pPr>
        <w:pStyle w:val="Untitledsubclause1"/>
        <w:rPr>
          <w:szCs w:val="22"/>
        </w:rPr>
      </w:pPr>
      <w:bookmarkStart w:id="29" w:name="a429521"/>
      <w:r w:rsidRPr="00DC6D61">
        <w:rPr>
          <w:szCs w:val="22"/>
        </w:rPr>
        <w:lastRenderedPageBreak/>
        <w:t xml:space="preserve">A reference to a </w:t>
      </w:r>
      <w:r w:rsidRPr="00DC6D61">
        <w:rPr>
          <w:b/>
          <w:szCs w:val="22"/>
        </w:rPr>
        <w:t>company</w:t>
      </w:r>
      <w:r w:rsidRPr="00DC6D61">
        <w:rPr>
          <w:szCs w:val="22"/>
        </w:rPr>
        <w:t xml:space="preserve"> shall include any company, corporation or other body corporate, wherever and however incorporated or established. </w:t>
      </w:r>
      <w:bookmarkEnd w:id="29"/>
    </w:p>
    <w:p w14:paraId="33515F11" w14:textId="77777777" w:rsidR="00DC6D61" w:rsidRPr="00DC6D61" w:rsidRDefault="00DC6D61" w:rsidP="00DC6D61">
      <w:pPr>
        <w:pStyle w:val="Untitledsubclause1"/>
        <w:rPr>
          <w:szCs w:val="22"/>
        </w:rPr>
      </w:pPr>
      <w:bookmarkStart w:id="30" w:name="a162488"/>
      <w:r w:rsidRPr="00DC6D61">
        <w:rPr>
          <w:szCs w:val="22"/>
        </w:rPr>
        <w:t>Unless expressly provi</w:t>
      </w:r>
      <w:r w:rsidR="00CD2720" w:rsidRPr="00DC6D61">
        <w:rPr>
          <w:szCs w:val="22"/>
        </w:rPr>
        <w:t>ded otherwise in this agreement</w:t>
      </w:r>
      <w:r w:rsidRPr="00DC6D61">
        <w:rPr>
          <w:szCs w:val="22"/>
        </w:rPr>
        <w:t>,</w:t>
      </w:r>
      <w:r w:rsidR="005C7D62">
        <w:rPr>
          <w:szCs w:val="22"/>
        </w:rPr>
        <w:t xml:space="preserve"> </w:t>
      </w:r>
      <w:r w:rsidRPr="00DC6D61">
        <w:rPr>
          <w:szCs w:val="22"/>
        </w:rPr>
        <w:t xml:space="preserve">a reference to </w:t>
      </w:r>
      <w:r w:rsidRPr="00DC6D61">
        <w:rPr>
          <w:b/>
          <w:szCs w:val="22"/>
        </w:rPr>
        <w:t>writing</w:t>
      </w:r>
      <w:r w:rsidRPr="00DC6D61">
        <w:rPr>
          <w:szCs w:val="22"/>
        </w:rPr>
        <w:t xml:space="preserve"> or </w:t>
      </w:r>
      <w:r w:rsidRPr="00DC6D61">
        <w:rPr>
          <w:b/>
          <w:szCs w:val="22"/>
        </w:rPr>
        <w:t>written</w:t>
      </w:r>
      <w:r w:rsidR="00CD2720" w:rsidRPr="00DC6D61">
        <w:rPr>
          <w:szCs w:val="22"/>
        </w:rPr>
        <w:t xml:space="preserve"> </w:t>
      </w:r>
      <w:r w:rsidRPr="00DC6D61">
        <w:rPr>
          <w:szCs w:val="22"/>
        </w:rPr>
        <w:t xml:space="preserve">includes </w:t>
      </w:r>
      <w:r w:rsidR="00CD2720" w:rsidRPr="00DC6D61">
        <w:rPr>
          <w:szCs w:val="22"/>
        </w:rPr>
        <w:t>fax and email</w:t>
      </w:r>
      <w:r w:rsidRPr="00DC6D61">
        <w:rPr>
          <w:szCs w:val="22"/>
        </w:rPr>
        <w:t xml:space="preserve">. </w:t>
      </w:r>
      <w:bookmarkEnd w:id="30"/>
    </w:p>
    <w:p w14:paraId="53B8E112" w14:textId="77777777" w:rsidR="00DC6D61" w:rsidRPr="00DC6D61" w:rsidRDefault="00CD2720" w:rsidP="00DC6D61">
      <w:pPr>
        <w:pStyle w:val="Untitledsubclause1"/>
        <w:rPr>
          <w:szCs w:val="22"/>
        </w:rPr>
      </w:pPr>
      <w:bookmarkStart w:id="31" w:name="a124051"/>
      <w:r w:rsidRPr="00DC6D61">
        <w:rPr>
          <w:szCs w:val="22"/>
        </w:rPr>
        <w:t xml:space="preserve">Any words following </w:t>
      </w:r>
      <w:r w:rsidR="00DC6D61" w:rsidRPr="00DC6D61">
        <w:rPr>
          <w:szCs w:val="22"/>
        </w:rPr>
        <w:t xml:space="preserve">e terms </w:t>
      </w:r>
      <w:r w:rsidR="00DC6D61" w:rsidRPr="00DC6D61">
        <w:rPr>
          <w:b/>
          <w:szCs w:val="22"/>
        </w:rPr>
        <w:t>including</w:t>
      </w:r>
      <w:r w:rsidR="00DC6D61" w:rsidRPr="00DC6D61">
        <w:rPr>
          <w:szCs w:val="22"/>
        </w:rPr>
        <w:t xml:space="preserve">, </w:t>
      </w:r>
      <w:r w:rsidR="00DC6D61" w:rsidRPr="00DC6D61">
        <w:rPr>
          <w:b/>
          <w:szCs w:val="22"/>
        </w:rPr>
        <w:t>include</w:t>
      </w:r>
      <w:proofErr w:type="gramStart"/>
      <w:r w:rsidR="00DC6D61" w:rsidRPr="00DC6D61">
        <w:rPr>
          <w:szCs w:val="22"/>
        </w:rPr>
        <w:t xml:space="preserve">, </w:t>
      </w:r>
      <w:r w:rsidR="00DC6D61" w:rsidRPr="00DC6D61">
        <w:rPr>
          <w:b/>
          <w:szCs w:val="22"/>
        </w:rPr>
        <w:t>in particular</w:t>
      </w:r>
      <w:r w:rsidR="00DC6D61" w:rsidRPr="00DC6D61">
        <w:rPr>
          <w:szCs w:val="22"/>
        </w:rPr>
        <w:t xml:space="preserve">, </w:t>
      </w:r>
      <w:r w:rsidR="00DC6D61" w:rsidRPr="00DC6D61">
        <w:rPr>
          <w:b/>
          <w:szCs w:val="22"/>
        </w:rPr>
        <w:t>for</w:t>
      </w:r>
      <w:proofErr w:type="gramEnd"/>
      <w:r w:rsidR="00DC6D61" w:rsidRPr="00DC6D61">
        <w:rPr>
          <w:b/>
          <w:szCs w:val="22"/>
        </w:rPr>
        <w:t xml:space="preserve"> example</w:t>
      </w:r>
      <w:r w:rsidR="00DC6D61" w:rsidRPr="00DC6D61">
        <w:rPr>
          <w:szCs w:val="22"/>
        </w:rPr>
        <w:t xml:space="preserve"> or any similar expression shall be construed as illustrative and shall not limit the sense of the words, description, definition, phrase or term preceding those terms.</w:t>
      </w:r>
      <w:bookmarkEnd w:id="31"/>
    </w:p>
    <w:p w14:paraId="769F5DD5" w14:textId="77777777" w:rsidR="00DC6D61" w:rsidRPr="00DC6D61" w:rsidRDefault="00DC6D61" w:rsidP="00DC6D61">
      <w:pPr>
        <w:pStyle w:val="Untitledsubclause1"/>
        <w:rPr>
          <w:szCs w:val="22"/>
        </w:rPr>
      </w:pPr>
      <w:bookmarkStart w:id="32" w:name="a334719"/>
      <w:r w:rsidRPr="00DC6D61">
        <w:rPr>
          <w:szCs w:val="22"/>
        </w:rPr>
        <w:t xml:space="preserve">Where the context permits, </w:t>
      </w:r>
      <w:r w:rsidRPr="00DC6D61">
        <w:rPr>
          <w:b/>
          <w:szCs w:val="22"/>
        </w:rPr>
        <w:t>other</w:t>
      </w:r>
      <w:r w:rsidRPr="00DC6D61">
        <w:rPr>
          <w:szCs w:val="22"/>
        </w:rPr>
        <w:t xml:space="preserve"> and </w:t>
      </w:r>
      <w:r w:rsidRPr="00DC6D61">
        <w:rPr>
          <w:b/>
          <w:szCs w:val="22"/>
        </w:rPr>
        <w:t>otherwise</w:t>
      </w:r>
      <w:r w:rsidRPr="00DC6D61">
        <w:rPr>
          <w:szCs w:val="22"/>
        </w:rPr>
        <w:t xml:space="preserve"> are illustrative and shall not limit the sense of the words preceding them.</w:t>
      </w:r>
      <w:bookmarkEnd w:id="32"/>
    </w:p>
    <w:p w14:paraId="5ADF9C9A" w14:textId="77777777" w:rsidR="00DC6D61" w:rsidRPr="00DC6D61" w:rsidRDefault="00DC6D61" w:rsidP="00DC6D61">
      <w:pPr>
        <w:pStyle w:val="Untitledsubclause1"/>
        <w:rPr>
          <w:szCs w:val="22"/>
        </w:rPr>
      </w:pPr>
      <w:bookmarkStart w:id="33" w:name="a699233"/>
      <w:r w:rsidRPr="00DC6D61">
        <w:rPr>
          <w:szCs w:val="22"/>
        </w:rPr>
        <w:t xml:space="preserve">References to a document in </w:t>
      </w:r>
      <w:r w:rsidRPr="00DC6D61">
        <w:rPr>
          <w:b/>
          <w:szCs w:val="22"/>
        </w:rPr>
        <w:t>agreed form</w:t>
      </w:r>
      <w:r w:rsidRPr="00DC6D61">
        <w:rPr>
          <w:szCs w:val="22"/>
        </w:rPr>
        <w:t xml:space="preserve"> are to that document in the form agreed by the parties and initialled by or on their behalf for identification.</w:t>
      </w:r>
      <w:bookmarkEnd w:id="33"/>
    </w:p>
    <w:p w14:paraId="4F87B342" w14:textId="77777777" w:rsidR="00DC6D61" w:rsidRPr="00DC6D61" w:rsidRDefault="00DC6D61" w:rsidP="00DC6D61">
      <w:pPr>
        <w:pStyle w:val="Untitledsubclause1"/>
        <w:rPr>
          <w:szCs w:val="22"/>
        </w:rPr>
      </w:pPr>
      <w:bookmarkStart w:id="34" w:name="a822333"/>
      <w:r w:rsidRPr="00DC6D61">
        <w:rPr>
          <w:szCs w:val="22"/>
        </w:rPr>
        <w:t>A reference to a statute or statutory provision is a reference to it as it is in forc</w:t>
      </w:r>
      <w:r w:rsidR="00CD2720" w:rsidRPr="00DC6D61">
        <w:rPr>
          <w:szCs w:val="22"/>
        </w:rPr>
        <w:t>e at the date of this agreement</w:t>
      </w:r>
      <w:r w:rsidRPr="00DC6D61">
        <w:rPr>
          <w:szCs w:val="22"/>
        </w:rPr>
        <w:t xml:space="preserve">, provided that, as between the parties, no such amendment, extension or re-enactment made after the date of this agreement shall apply for the purposes of this agreement to the extent that it would impose any new or extended obligation, liability or restriction on, or otherwise adversely </w:t>
      </w:r>
      <w:r w:rsidR="00CD2720" w:rsidRPr="00DC6D61">
        <w:rPr>
          <w:szCs w:val="22"/>
        </w:rPr>
        <w:t>affect the rights of, any party</w:t>
      </w:r>
      <w:r w:rsidRPr="00DC6D61">
        <w:rPr>
          <w:szCs w:val="22"/>
        </w:rPr>
        <w:t>.</w:t>
      </w:r>
      <w:bookmarkEnd w:id="34"/>
    </w:p>
    <w:p w14:paraId="23F4D9B9" w14:textId="77777777" w:rsidR="00DC6D61" w:rsidRPr="00DC6D61" w:rsidRDefault="00DC6D61" w:rsidP="00DC6D61">
      <w:pPr>
        <w:pStyle w:val="Untitledsubclause1"/>
        <w:rPr>
          <w:szCs w:val="22"/>
        </w:rPr>
      </w:pPr>
      <w:bookmarkStart w:id="35" w:name="a533645"/>
      <w:r w:rsidRPr="00DC6D61">
        <w:rPr>
          <w:szCs w:val="22"/>
        </w:rPr>
        <w:t>A reference to a statute or statutory provision shall include all subor</w:t>
      </w:r>
      <w:r w:rsidR="00CD2720" w:rsidRPr="00DC6D61">
        <w:rPr>
          <w:szCs w:val="22"/>
        </w:rPr>
        <w:t xml:space="preserve">dinate legislation made </w:t>
      </w:r>
      <w:r w:rsidRPr="00DC6D61">
        <w:rPr>
          <w:szCs w:val="22"/>
        </w:rPr>
        <w:t>from time to time under that statute or statutory provision.</w:t>
      </w:r>
      <w:bookmarkEnd w:id="35"/>
    </w:p>
    <w:p w14:paraId="03515385" w14:textId="77777777" w:rsidR="00DC6D61" w:rsidRPr="00DC6D61" w:rsidRDefault="00DC6D61" w:rsidP="00DC6D61">
      <w:pPr>
        <w:pStyle w:val="Untitledsubclause1"/>
        <w:rPr>
          <w:szCs w:val="22"/>
        </w:rPr>
      </w:pPr>
      <w:bookmarkStart w:id="36" w:name="a816189"/>
      <w:r w:rsidRPr="00DC6D61">
        <w:rPr>
          <w:szCs w:val="22"/>
        </w:rPr>
        <w:t>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bookmarkEnd w:id="36"/>
    </w:p>
    <w:p w14:paraId="61FDC977" w14:textId="77777777" w:rsidR="00DC6D61" w:rsidRPr="00DC6D61" w:rsidRDefault="00DC6D61" w:rsidP="00DC6D61">
      <w:pPr>
        <w:pStyle w:val="Untitledsubclause1"/>
        <w:rPr>
          <w:szCs w:val="22"/>
        </w:rPr>
      </w:pPr>
      <w:bookmarkStart w:id="37" w:name="a993357"/>
      <w:r w:rsidRPr="00DC6D61">
        <w:rPr>
          <w:szCs w:val="22"/>
        </w:rPr>
        <w:t>Any obligation on a party not to do something includes an obligation not to allow that thing to be done.</w:t>
      </w:r>
      <w:bookmarkEnd w:id="37"/>
    </w:p>
    <w:p w14:paraId="6026C441" w14:textId="77777777" w:rsidR="00DC6D61" w:rsidRPr="00DC6D61" w:rsidRDefault="00DC6D61" w:rsidP="00DC6D61">
      <w:pPr>
        <w:pStyle w:val="TitleClause"/>
        <w:rPr>
          <w:szCs w:val="22"/>
        </w:rPr>
      </w:pPr>
      <w:r w:rsidRPr="00DC6D61">
        <w:rPr>
          <w:szCs w:val="22"/>
        </w:rPr>
        <w:fldChar w:fldCharType="begin"/>
      </w:r>
      <w:r w:rsidRPr="00DC6D61">
        <w:rPr>
          <w:szCs w:val="22"/>
        </w:rPr>
        <w:instrText>TC "3. Completion" \l 1</w:instrText>
      </w:r>
      <w:r w:rsidRPr="00DC6D61">
        <w:rPr>
          <w:szCs w:val="22"/>
        </w:rPr>
        <w:fldChar w:fldCharType="end"/>
      </w:r>
      <w:bookmarkStart w:id="38" w:name="a308748"/>
      <w:bookmarkStart w:id="39" w:name="_Toc256000002"/>
      <w:r w:rsidRPr="00DC6D61">
        <w:rPr>
          <w:szCs w:val="22"/>
        </w:rPr>
        <w:t>Completion</w:t>
      </w:r>
      <w:bookmarkEnd w:id="38"/>
      <w:bookmarkEnd w:id="39"/>
    </w:p>
    <w:p w14:paraId="4A43E347" w14:textId="77777777" w:rsidR="00DC6D61" w:rsidRPr="00C140A5" w:rsidRDefault="00C140A5" w:rsidP="00C140A5">
      <w:pPr>
        <w:pStyle w:val="Untitledsubclause1"/>
        <w:numPr>
          <w:ilvl w:val="0"/>
          <w:numId w:val="0"/>
        </w:numPr>
        <w:spacing w:before="60"/>
        <w:ind w:left="720"/>
        <w:rPr>
          <w:szCs w:val="22"/>
        </w:rPr>
      </w:pPr>
      <w:bookmarkStart w:id="40" w:name="a382998"/>
      <w:r w:rsidRPr="00C140A5">
        <w:rPr>
          <w:szCs w:val="22"/>
        </w:rPr>
        <w:t>O</w:t>
      </w:r>
      <w:r w:rsidR="00DC6D61" w:rsidRPr="00C140A5">
        <w:rPr>
          <w:szCs w:val="22"/>
        </w:rPr>
        <w:t>n the Completion Date</w:t>
      </w:r>
      <w:bookmarkStart w:id="41" w:name="a900830"/>
      <w:bookmarkEnd w:id="40"/>
      <w:r>
        <w:rPr>
          <w:szCs w:val="22"/>
        </w:rPr>
        <w:t xml:space="preserve"> t</w:t>
      </w:r>
      <w:r w:rsidR="00DC6D61" w:rsidRPr="00C140A5">
        <w:rPr>
          <w:szCs w:val="22"/>
        </w:rPr>
        <w:t xml:space="preserve">he Investor shall </w:t>
      </w:r>
      <w:r w:rsidR="00433DD0">
        <w:rPr>
          <w:szCs w:val="22"/>
        </w:rPr>
        <w:t>transfer to</w:t>
      </w:r>
      <w:r w:rsidR="00B01532">
        <w:rPr>
          <w:szCs w:val="22"/>
        </w:rPr>
        <w:t xml:space="preserve"> </w:t>
      </w:r>
      <w:r w:rsidR="00DC6D61" w:rsidRPr="00C140A5">
        <w:rPr>
          <w:szCs w:val="22"/>
        </w:rPr>
        <w:t xml:space="preserve">the Company </w:t>
      </w:r>
      <w:r w:rsidR="003A2938" w:rsidRPr="004521CF">
        <w:rPr>
          <w:szCs w:val="22"/>
        </w:rPr>
        <w:t>€</w:t>
      </w:r>
      <w:r w:rsidR="00211671" w:rsidRPr="004521CF">
        <w:rPr>
          <w:szCs w:val="22"/>
        </w:rPr>
        <w:t>1,3</w:t>
      </w:r>
      <w:r w:rsidR="004521CF">
        <w:rPr>
          <w:szCs w:val="22"/>
        </w:rPr>
        <w:t>65</w:t>
      </w:r>
      <w:r w:rsidR="00211671" w:rsidRPr="004521CF">
        <w:rPr>
          <w:szCs w:val="22"/>
        </w:rPr>
        <w:t>,000</w:t>
      </w:r>
      <w:r w:rsidR="004521CF">
        <w:rPr>
          <w:szCs w:val="22"/>
        </w:rPr>
        <w:t xml:space="preserve"> </w:t>
      </w:r>
      <w:r w:rsidR="00433DD0">
        <w:rPr>
          <w:szCs w:val="22"/>
        </w:rPr>
        <w:t xml:space="preserve">being the </w:t>
      </w:r>
      <w:r w:rsidR="005C7D62" w:rsidRPr="005C7D62">
        <w:rPr>
          <w:b/>
          <w:szCs w:val="22"/>
        </w:rPr>
        <w:t>Principal Investment</w:t>
      </w:r>
      <w:r w:rsidR="005C7D62">
        <w:rPr>
          <w:szCs w:val="22"/>
        </w:rPr>
        <w:t xml:space="preserve"> </w:t>
      </w:r>
      <w:r w:rsidR="00DC6D61" w:rsidRPr="00C140A5">
        <w:rPr>
          <w:szCs w:val="22"/>
        </w:rPr>
        <w:t>by el</w:t>
      </w:r>
      <w:r w:rsidR="00D97BED" w:rsidRPr="00C140A5">
        <w:rPr>
          <w:szCs w:val="22"/>
        </w:rPr>
        <w:t>ectronic transfer to the Company or to whom they direct</w:t>
      </w:r>
      <w:r w:rsidR="00DC6D61" w:rsidRPr="00C140A5">
        <w:rPr>
          <w:szCs w:val="22"/>
        </w:rPr>
        <w:t>. Payment made</w:t>
      </w:r>
      <w:r>
        <w:rPr>
          <w:szCs w:val="22"/>
        </w:rPr>
        <w:t xml:space="preserve"> in accordance with this clause </w:t>
      </w:r>
      <w:r w:rsidR="00DC6D61" w:rsidRPr="00C140A5">
        <w:rPr>
          <w:szCs w:val="22"/>
        </w:rPr>
        <w:t xml:space="preserve">shall constitute a good discharge for the Investor of its obligations under this </w:t>
      </w:r>
      <w:r w:rsidR="00DC6D61" w:rsidRPr="00B01532">
        <w:rPr>
          <w:szCs w:val="22"/>
        </w:rPr>
        <w:t xml:space="preserve">clause </w:t>
      </w:r>
      <w:r w:rsidR="00DC6D61" w:rsidRPr="00B01532">
        <w:rPr>
          <w:szCs w:val="22"/>
        </w:rPr>
        <w:fldChar w:fldCharType="begin"/>
      </w:r>
      <w:r w:rsidR="00DC6D61" w:rsidRPr="00B01532">
        <w:rPr>
          <w:szCs w:val="22"/>
        </w:rPr>
        <w:instrText>REF a308748 \h \w \n</w:instrText>
      </w:r>
      <w:r w:rsidR="007D20B8" w:rsidRPr="00B01532">
        <w:rPr>
          <w:szCs w:val="22"/>
        </w:rPr>
        <w:instrText xml:space="preserve"> \* MERGEFORMAT </w:instrText>
      </w:r>
      <w:r w:rsidR="00DC6D61" w:rsidRPr="00B01532">
        <w:rPr>
          <w:szCs w:val="22"/>
        </w:rPr>
      </w:r>
      <w:r w:rsidR="00DC6D61" w:rsidRPr="00B01532">
        <w:rPr>
          <w:szCs w:val="22"/>
        </w:rPr>
        <w:fldChar w:fldCharType="separate"/>
      </w:r>
      <w:r w:rsidR="002B65AC" w:rsidRPr="00B01532">
        <w:rPr>
          <w:szCs w:val="22"/>
        </w:rPr>
        <w:t>2</w:t>
      </w:r>
      <w:r w:rsidR="00DC6D61" w:rsidRPr="00B01532">
        <w:rPr>
          <w:szCs w:val="22"/>
        </w:rPr>
        <w:fldChar w:fldCharType="end"/>
      </w:r>
      <w:bookmarkEnd w:id="41"/>
      <w:r w:rsidR="00D97BED" w:rsidRPr="00C140A5">
        <w:rPr>
          <w:szCs w:val="22"/>
        </w:rPr>
        <w:t>.</w:t>
      </w:r>
    </w:p>
    <w:p w14:paraId="297309B0" w14:textId="77777777" w:rsidR="00DC6D61" w:rsidRPr="00DC6D61" w:rsidRDefault="00DC6D61" w:rsidP="00DC6D61">
      <w:pPr>
        <w:pStyle w:val="TitleClause"/>
        <w:rPr>
          <w:szCs w:val="22"/>
        </w:rPr>
      </w:pPr>
      <w:r w:rsidRPr="00DC6D61">
        <w:rPr>
          <w:szCs w:val="22"/>
        </w:rPr>
        <w:fldChar w:fldCharType="begin"/>
      </w:r>
      <w:r w:rsidRPr="00DC6D61">
        <w:rPr>
          <w:szCs w:val="22"/>
        </w:rPr>
        <w:instrText>TC "4. Warranties" \l 1</w:instrText>
      </w:r>
      <w:r w:rsidRPr="00DC6D61">
        <w:rPr>
          <w:szCs w:val="22"/>
        </w:rPr>
        <w:fldChar w:fldCharType="end"/>
      </w:r>
      <w:bookmarkStart w:id="42" w:name="a1031816"/>
      <w:bookmarkStart w:id="43" w:name="_Toc256000003"/>
      <w:r w:rsidRPr="00DC6D61">
        <w:rPr>
          <w:szCs w:val="22"/>
        </w:rPr>
        <w:t>Warranties</w:t>
      </w:r>
      <w:bookmarkEnd w:id="42"/>
      <w:bookmarkEnd w:id="43"/>
    </w:p>
    <w:p w14:paraId="3D47782F" w14:textId="77777777" w:rsidR="00DC6D61" w:rsidRPr="00DC6D61" w:rsidRDefault="00DC6D61" w:rsidP="00DC6D61">
      <w:pPr>
        <w:pStyle w:val="Untitledsubclause1"/>
        <w:rPr>
          <w:szCs w:val="22"/>
        </w:rPr>
      </w:pPr>
      <w:bookmarkStart w:id="44" w:name="a791962"/>
      <w:r w:rsidRPr="00DC6D61">
        <w:rPr>
          <w:szCs w:val="22"/>
        </w:rPr>
        <w:t>The Warrantors acknowledge that the Investor has enter</w:t>
      </w:r>
      <w:r w:rsidR="003A2938">
        <w:rPr>
          <w:szCs w:val="22"/>
        </w:rPr>
        <w:t>ed</w:t>
      </w:r>
      <w:r w:rsidRPr="00DC6D61">
        <w:rPr>
          <w:szCs w:val="22"/>
        </w:rPr>
        <w:t xml:space="preserve"> into the agreement </w:t>
      </w:r>
      <w:proofErr w:type="gramStart"/>
      <w:r w:rsidRPr="00DC6D61">
        <w:rPr>
          <w:szCs w:val="22"/>
        </w:rPr>
        <w:t>on the basis of</w:t>
      </w:r>
      <w:proofErr w:type="gramEnd"/>
      <w:r w:rsidRPr="00DC6D61">
        <w:rPr>
          <w:szCs w:val="22"/>
        </w:rPr>
        <w:t xml:space="preserve"> and in reliance upon the Warranties. </w:t>
      </w:r>
      <w:bookmarkEnd w:id="44"/>
    </w:p>
    <w:p w14:paraId="79DA7558" w14:textId="77777777" w:rsidR="00DC6D61" w:rsidRPr="00DE4B8E" w:rsidRDefault="00DC6D61" w:rsidP="00DE4B8E">
      <w:pPr>
        <w:pStyle w:val="Untitledsubclause1"/>
      </w:pPr>
      <w:bookmarkStart w:id="45" w:name="a830440"/>
      <w:r w:rsidRPr="00DC6D61">
        <w:rPr>
          <w:szCs w:val="22"/>
        </w:rPr>
        <w:lastRenderedPageBreak/>
        <w:t>The Warrantors jointly a</w:t>
      </w:r>
      <w:r w:rsidR="00530D38">
        <w:rPr>
          <w:szCs w:val="22"/>
        </w:rPr>
        <w:t xml:space="preserve">nd severally </w:t>
      </w:r>
      <w:r w:rsidR="00DE4B8E">
        <w:rPr>
          <w:szCs w:val="22"/>
        </w:rPr>
        <w:t>warrant</w:t>
      </w:r>
      <w:r w:rsidRPr="00DC6D61">
        <w:rPr>
          <w:szCs w:val="22"/>
        </w:rPr>
        <w:t xml:space="preserve"> to the Investor that </w:t>
      </w:r>
      <w:proofErr w:type="gramStart"/>
      <w:r w:rsidRPr="00DC6D61">
        <w:rPr>
          <w:szCs w:val="22"/>
        </w:rPr>
        <w:t>each and every</w:t>
      </w:r>
      <w:proofErr w:type="gramEnd"/>
      <w:r w:rsidRPr="00DC6D61">
        <w:rPr>
          <w:szCs w:val="22"/>
        </w:rPr>
        <w:t xml:space="preserve"> warranty set out in </w:t>
      </w:r>
      <w:r w:rsidR="00D15878">
        <w:rPr>
          <w:szCs w:val="22"/>
        </w:rPr>
        <w:t>Schedule 3</w:t>
      </w:r>
      <w:r w:rsidRPr="00DC6D61">
        <w:rPr>
          <w:szCs w:val="22"/>
        </w:rPr>
        <w:t>,</w:t>
      </w:r>
      <w:r w:rsidR="00DE4B8E">
        <w:rPr>
          <w:szCs w:val="22"/>
        </w:rPr>
        <w:t xml:space="preserve"> at the date of this agreement</w:t>
      </w:r>
      <w:r w:rsidR="00B01532">
        <w:rPr>
          <w:szCs w:val="22"/>
        </w:rPr>
        <w:t xml:space="preserve"> is</w:t>
      </w:r>
      <w:r w:rsidR="00DE4B8E">
        <w:rPr>
          <w:szCs w:val="22"/>
        </w:rPr>
        <w:t xml:space="preserve"> </w:t>
      </w:r>
      <w:r w:rsidRPr="00DC6D61">
        <w:rPr>
          <w:szCs w:val="22"/>
        </w:rPr>
        <w:t>tru</w:t>
      </w:r>
      <w:r w:rsidR="00DE4B8E">
        <w:rPr>
          <w:szCs w:val="22"/>
        </w:rPr>
        <w:t xml:space="preserve">e, accurate and not misleading </w:t>
      </w:r>
      <w:r w:rsidRPr="00DC6D61">
        <w:rPr>
          <w:szCs w:val="22"/>
        </w:rPr>
        <w:t>in any</w:t>
      </w:r>
      <w:r w:rsidR="00DE4B8E">
        <w:rPr>
          <w:szCs w:val="22"/>
        </w:rPr>
        <w:t xml:space="preserve"> material respect</w:t>
      </w:r>
      <w:bookmarkEnd w:id="45"/>
      <w:r w:rsidR="00DE4B8E">
        <w:rPr>
          <w:szCs w:val="22"/>
        </w:rPr>
        <w:t>.</w:t>
      </w:r>
    </w:p>
    <w:p w14:paraId="4CD49BBE" w14:textId="77777777" w:rsidR="00DC6D61" w:rsidRPr="00DC6D61" w:rsidRDefault="00DC6D61" w:rsidP="00DC6D61">
      <w:pPr>
        <w:pStyle w:val="Untitledsubclause1"/>
        <w:rPr>
          <w:szCs w:val="22"/>
        </w:rPr>
      </w:pPr>
      <w:bookmarkStart w:id="46" w:name="a360910"/>
      <w:r w:rsidRPr="00DC6D61">
        <w:rPr>
          <w:szCs w:val="22"/>
        </w:rPr>
        <w:t>Each Warranty is a separate and independen</w:t>
      </w:r>
      <w:r w:rsidR="00DE4B8E">
        <w:rPr>
          <w:szCs w:val="22"/>
        </w:rPr>
        <w:t>t warranty</w:t>
      </w:r>
      <w:r w:rsidRPr="00DC6D61">
        <w:rPr>
          <w:szCs w:val="22"/>
        </w:rPr>
        <w:t>, and, save as otherwise expressly provided, no Warranty shall be limited by reference to any other Warranty or by the other terms of this agreement.</w:t>
      </w:r>
      <w:bookmarkEnd w:id="46"/>
    </w:p>
    <w:p w14:paraId="13679BB9" w14:textId="77777777" w:rsidR="00DC6D61" w:rsidRPr="00DC6D61" w:rsidRDefault="00DC6D61" w:rsidP="00DC6D61">
      <w:pPr>
        <w:pStyle w:val="Untitledsubclause1"/>
        <w:rPr>
          <w:szCs w:val="22"/>
        </w:rPr>
      </w:pPr>
      <w:bookmarkStart w:id="47" w:name="a756119"/>
      <w:r w:rsidRPr="00DC6D61">
        <w:rPr>
          <w:szCs w:val="22"/>
        </w:rPr>
        <w:t xml:space="preserve">The Investor's rights and remedies in respect of any breach of any of the Warranties shall not be affected by: </w:t>
      </w:r>
      <w:bookmarkEnd w:id="47"/>
    </w:p>
    <w:p w14:paraId="08CDB791" w14:textId="77777777" w:rsidR="00DC6D61" w:rsidRPr="00DC6D61" w:rsidRDefault="00DC6D61" w:rsidP="00DC6D61">
      <w:pPr>
        <w:pStyle w:val="Untitledsubclause2"/>
        <w:spacing w:before="60"/>
        <w:rPr>
          <w:szCs w:val="22"/>
        </w:rPr>
      </w:pPr>
      <w:bookmarkStart w:id="48" w:name="a508174"/>
      <w:r w:rsidRPr="00DC6D61">
        <w:rPr>
          <w:szCs w:val="22"/>
        </w:rPr>
        <w:t>Completion;</w:t>
      </w:r>
      <w:bookmarkEnd w:id="48"/>
    </w:p>
    <w:p w14:paraId="5707E15C" w14:textId="77777777" w:rsidR="00DC6D61" w:rsidRPr="00DC6D61" w:rsidRDefault="00DC6D61" w:rsidP="00DC6D61">
      <w:pPr>
        <w:pStyle w:val="Untitledsubclause2"/>
        <w:spacing w:before="60"/>
        <w:rPr>
          <w:szCs w:val="22"/>
        </w:rPr>
      </w:pPr>
      <w:bookmarkStart w:id="49" w:name="a330637"/>
      <w:r w:rsidRPr="00DC6D61">
        <w:rPr>
          <w:szCs w:val="22"/>
        </w:rPr>
        <w:t xml:space="preserve">any investigation made by or on behalf of the Investor into the affairs of the Company; or </w:t>
      </w:r>
      <w:bookmarkEnd w:id="49"/>
    </w:p>
    <w:p w14:paraId="645D5C4A" w14:textId="77777777" w:rsidR="00DC6D61" w:rsidRPr="00DC6D61" w:rsidRDefault="00DC6D61" w:rsidP="00DC6D61">
      <w:pPr>
        <w:pStyle w:val="Untitledsubclause2"/>
        <w:spacing w:before="60"/>
        <w:rPr>
          <w:szCs w:val="22"/>
        </w:rPr>
      </w:pPr>
      <w:bookmarkStart w:id="50" w:name="a532424"/>
      <w:r w:rsidRPr="00DC6D61">
        <w:rPr>
          <w:szCs w:val="22"/>
        </w:rPr>
        <w:t>any other event or matter whatsoever which otherwise might have affected such rights and remedies except a specific and duly authorised written waiver or release.</w:t>
      </w:r>
      <w:bookmarkEnd w:id="50"/>
    </w:p>
    <w:p w14:paraId="6CAA62DD" w14:textId="77777777" w:rsidR="00DC6D61" w:rsidRPr="00DC6D61" w:rsidRDefault="00DC6D61" w:rsidP="00DC6D61">
      <w:pPr>
        <w:pStyle w:val="Untitledsubclause1"/>
        <w:rPr>
          <w:szCs w:val="22"/>
        </w:rPr>
      </w:pPr>
      <w:bookmarkStart w:id="51" w:name="a344566"/>
      <w:r w:rsidRPr="00DC6D61">
        <w:rPr>
          <w:szCs w:val="22"/>
        </w:rPr>
        <w:t xml:space="preserve">No information relating to the Company of which the Investor and/or its agents and/or advisers has knowledge (actual, constructive or imputed) other than by reason of it being </w:t>
      </w:r>
      <w:proofErr w:type="gramStart"/>
      <w:r w:rsidRPr="00DC6D61">
        <w:rPr>
          <w:szCs w:val="22"/>
        </w:rPr>
        <w:t>Disclosed  shall</w:t>
      </w:r>
      <w:proofErr w:type="gramEnd"/>
      <w:r w:rsidRPr="00DC6D61">
        <w:rPr>
          <w:szCs w:val="22"/>
        </w:rPr>
        <w:t xml:space="preserve"> prejudice any Claim that the Investor shall be entitled to bring or shall operate to reduce any amount recoverable by the Investor under this agreement.</w:t>
      </w:r>
      <w:bookmarkEnd w:id="51"/>
    </w:p>
    <w:p w14:paraId="5F9FAC46" w14:textId="77777777" w:rsidR="00DC6D61" w:rsidRDefault="00DC6D61" w:rsidP="00DC6D61">
      <w:pPr>
        <w:pStyle w:val="Untitledsubclause1"/>
        <w:rPr>
          <w:szCs w:val="22"/>
        </w:rPr>
      </w:pPr>
      <w:bookmarkStart w:id="52" w:name="a494994"/>
      <w:r w:rsidRPr="00DC6D61">
        <w:rPr>
          <w:szCs w:val="22"/>
        </w:rPr>
        <w:t xml:space="preserve">The Investor may claim in respect of any breach of the Warranties, either against the Company or against any of the other Warrantors and/or partly against the Company and partly against any of the other Warrantors. In the case of a Claim against the Company, no counterclaim or right of contribution or indemnity shall lie against the other Warrantors. In the case of a Claim against any or </w:t>
      </w:r>
      <w:proofErr w:type="gramStart"/>
      <w:r w:rsidRPr="00DC6D61">
        <w:rPr>
          <w:szCs w:val="22"/>
        </w:rPr>
        <w:t>all of</w:t>
      </w:r>
      <w:proofErr w:type="gramEnd"/>
      <w:r w:rsidRPr="00DC6D61">
        <w:rPr>
          <w:szCs w:val="22"/>
        </w:rPr>
        <w:t xml:space="preserve"> the other Warrantors, no counterclaim or right of contribution or indemnity shall lie by any of them against the Company or any of the other Warrantors.</w:t>
      </w:r>
      <w:bookmarkEnd w:id="52"/>
    </w:p>
    <w:p w14:paraId="0BA0DA2A" w14:textId="77777777" w:rsidR="00397ECE" w:rsidRDefault="00397ECE" w:rsidP="00397ECE">
      <w:pPr>
        <w:pStyle w:val="TitleClause"/>
        <w:rPr>
          <w:szCs w:val="22"/>
        </w:rPr>
      </w:pPr>
      <w:r>
        <w:rPr>
          <w:szCs w:val="22"/>
        </w:rPr>
        <w:t>Investor Representation</w:t>
      </w:r>
    </w:p>
    <w:p w14:paraId="34DE43D7" w14:textId="77777777" w:rsidR="00397ECE" w:rsidRPr="00B57DE8" w:rsidRDefault="00397ECE" w:rsidP="00397ECE">
      <w:pPr>
        <w:pStyle w:val="Untitledsubclause1"/>
        <w:rPr>
          <w:szCs w:val="22"/>
        </w:rPr>
      </w:pPr>
      <w:r>
        <w:rPr>
          <w:szCs w:val="22"/>
        </w:rPr>
        <w:t>The Investor represents to the Founders, the Company</w:t>
      </w:r>
      <w:r w:rsidR="006E2F47">
        <w:rPr>
          <w:szCs w:val="22"/>
        </w:rPr>
        <w:t xml:space="preserve"> and to</w:t>
      </w:r>
      <w:r>
        <w:rPr>
          <w:szCs w:val="22"/>
        </w:rPr>
        <w:t xml:space="preserve"> </w:t>
      </w:r>
      <w:r w:rsidR="00386240">
        <w:rPr>
          <w:szCs w:val="22"/>
        </w:rPr>
        <w:t>Fine Holdings</w:t>
      </w:r>
      <w:r w:rsidR="00B01532">
        <w:rPr>
          <w:szCs w:val="22"/>
        </w:rPr>
        <w:t xml:space="preserve"> </w:t>
      </w:r>
      <w:r>
        <w:rPr>
          <w:szCs w:val="22"/>
        </w:rPr>
        <w:t xml:space="preserve">that it </w:t>
      </w:r>
      <w:r w:rsidR="000C4166">
        <w:rPr>
          <w:szCs w:val="22"/>
        </w:rPr>
        <w:t>acknowledges</w:t>
      </w:r>
      <w:r>
        <w:rPr>
          <w:szCs w:val="22"/>
        </w:rPr>
        <w:t xml:space="preserve"> that the Principal Investment </w:t>
      </w:r>
      <w:r w:rsidR="00B01532">
        <w:rPr>
          <w:szCs w:val="22"/>
        </w:rPr>
        <w:t>made</w:t>
      </w:r>
      <w:r>
        <w:rPr>
          <w:szCs w:val="22"/>
        </w:rPr>
        <w:t xml:space="preserve"> is neither capital protected, nor that any Profit returns are </w:t>
      </w:r>
      <w:r w:rsidR="000C4166">
        <w:rPr>
          <w:szCs w:val="22"/>
        </w:rPr>
        <w:t xml:space="preserve">being </w:t>
      </w:r>
      <w:r>
        <w:rPr>
          <w:szCs w:val="22"/>
        </w:rPr>
        <w:t xml:space="preserve">guaranteed.  </w:t>
      </w:r>
      <w:r w:rsidR="000C4166">
        <w:rPr>
          <w:szCs w:val="22"/>
        </w:rPr>
        <w:t xml:space="preserve">An investment of this nature </w:t>
      </w:r>
      <w:r w:rsidR="00B01532">
        <w:rPr>
          <w:szCs w:val="22"/>
        </w:rPr>
        <w:t>carries risks</w:t>
      </w:r>
      <w:r w:rsidR="000C4166">
        <w:rPr>
          <w:szCs w:val="22"/>
        </w:rPr>
        <w:t xml:space="preserve"> associated with any </w:t>
      </w:r>
      <w:r w:rsidR="00023A1C">
        <w:rPr>
          <w:szCs w:val="22"/>
        </w:rPr>
        <w:t xml:space="preserve">such </w:t>
      </w:r>
      <w:r w:rsidR="000C4166">
        <w:rPr>
          <w:szCs w:val="22"/>
        </w:rPr>
        <w:t>real estate investment</w:t>
      </w:r>
      <w:r w:rsidR="00023A1C">
        <w:rPr>
          <w:szCs w:val="22"/>
        </w:rPr>
        <w:t>s</w:t>
      </w:r>
      <w:r w:rsidR="000C4166">
        <w:rPr>
          <w:szCs w:val="22"/>
        </w:rPr>
        <w:t>, and as such, a</w:t>
      </w:r>
      <w:r>
        <w:rPr>
          <w:szCs w:val="22"/>
        </w:rPr>
        <w:t>ny repayment of the Principal Investment</w:t>
      </w:r>
      <w:r w:rsidR="000C4166">
        <w:rPr>
          <w:szCs w:val="22"/>
        </w:rPr>
        <w:t xml:space="preserve"> (assuming no losses)</w:t>
      </w:r>
      <w:r>
        <w:rPr>
          <w:szCs w:val="22"/>
        </w:rPr>
        <w:t xml:space="preserve"> </w:t>
      </w:r>
      <w:r w:rsidR="000C4166">
        <w:rPr>
          <w:szCs w:val="22"/>
        </w:rPr>
        <w:t>and/</w:t>
      </w:r>
      <w:r>
        <w:rPr>
          <w:szCs w:val="22"/>
        </w:rPr>
        <w:t>or Profit</w:t>
      </w:r>
      <w:r w:rsidR="000C4166">
        <w:rPr>
          <w:szCs w:val="22"/>
        </w:rPr>
        <w:t xml:space="preserve"> (if any)</w:t>
      </w:r>
      <w:r>
        <w:rPr>
          <w:szCs w:val="22"/>
        </w:rPr>
        <w:t xml:space="preserve"> </w:t>
      </w:r>
      <w:r w:rsidR="000C4166">
        <w:rPr>
          <w:szCs w:val="22"/>
        </w:rPr>
        <w:t>is</w:t>
      </w:r>
      <w:r>
        <w:rPr>
          <w:szCs w:val="22"/>
        </w:rPr>
        <w:t xml:space="preserve"> </w:t>
      </w:r>
      <w:r w:rsidR="000C4166">
        <w:rPr>
          <w:szCs w:val="22"/>
        </w:rPr>
        <w:t xml:space="preserve">contingent upon </w:t>
      </w:r>
      <w:r>
        <w:rPr>
          <w:szCs w:val="22"/>
        </w:rPr>
        <w:t>the underlying Project performance</w:t>
      </w:r>
      <w:r w:rsidR="00023A1C">
        <w:rPr>
          <w:szCs w:val="22"/>
        </w:rPr>
        <w:t>.</w:t>
      </w:r>
    </w:p>
    <w:p w14:paraId="4DDD6CFD" w14:textId="77777777" w:rsidR="00DC6D61" w:rsidRPr="00DC6D61" w:rsidRDefault="00DC6D61" w:rsidP="00DC6D61">
      <w:pPr>
        <w:pStyle w:val="TitleClause"/>
        <w:rPr>
          <w:szCs w:val="22"/>
        </w:rPr>
      </w:pPr>
      <w:r w:rsidRPr="00DC6D61">
        <w:rPr>
          <w:szCs w:val="22"/>
        </w:rPr>
        <w:fldChar w:fldCharType="begin"/>
      </w:r>
      <w:r w:rsidRPr="00DC6D61">
        <w:rPr>
          <w:szCs w:val="22"/>
        </w:rPr>
        <w:fldChar w:fldCharType="end"/>
      </w:r>
      <w:r w:rsidRPr="00DC6D61">
        <w:rPr>
          <w:szCs w:val="22"/>
        </w:rPr>
        <w:fldChar w:fldCharType="begin"/>
      </w:r>
      <w:r w:rsidRPr="00DC6D61">
        <w:rPr>
          <w:szCs w:val="22"/>
        </w:rPr>
        <w:instrText>TC "5. Limitations" \l 1</w:instrText>
      </w:r>
      <w:r w:rsidRPr="00DC6D61">
        <w:rPr>
          <w:szCs w:val="22"/>
        </w:rPr>
        <w:fldChar w:fldCharType="end"/>
      </w:r>
      <w:bookmarkStart w:id="53" w:name="a448177"/>
      <w:bookmarkStart w:id="54" w:name="_Toc256000004"/>
      <w:r w:rsidRPr="00DC6D61">
        <w:rPr>
          <w:szCs w:val="22"/>
        </w:rPr>
        <w:t>Limitations</w:t>
      </w:r>
      <w:bookmarkEnd w:id="53"/>
      <w:bookmarkEnd w:id="54"/>
    </w:p>
    <w:p w14:paraId="42AB169A" w14:textId="77777777" w:rsidR="00DC6D61" w:rsidRPr="00DC6D61" w:rsidRDefault="00DC6D61" w:rsidP="00DC6D61">
      <w:pPr>
        <w:pStyle w:val="Untitledsubclause1"/>
        <w:rPr>
          <w:szCs w:val="22"/>
        </w:rPr>
      </w:pPr>
      <w:bookmarkStart w:id="55" w:name="a584760"/>
      <w:r w:rsidRPr="00DC6D61">
        <w:rPr>
          <w:szCs w:val="22"/>
        </w:rPr>
        <w:t xml:space="preserve">The limitations set out in this clause </w:t>
      </w:r>
      <w:r w:rsidR="000C4166">
        <w:rPr>
          <w:szCs w:val="22"/>
        </w:rPr>
        <w:t>5</w:t>
      </w:r>
      <w:r w:rsidR="000C4166" w:rsidRPr="00DC6D61">
        <w:rPr>
          <w:szCs w:val="22"/>
        </w:rPr>
        <w:t xml:space="preserve"> </w:t>
      </w:r>
      <w:r w:rsidRPr="00DC6D61">
        <w:rPr>
          <w:szCs w:val="22"/>
        </w:rPr>
        <w:t>shall not apply to any Claim which is:</w:t>
      </w:r>
      <w:bookmarkEnd w:id="55"/>
    </w:p>
    <w:p w14:paraId="388EF2FA" w14:textId="77777777" w:rsidR="00DC6D61" w:rsidRPr="00DC6D61" w:rsidRDefault="00DC6D61" w:rsidP="00DC6D61">
      <w:pPr>
        <w:pStyle w:val="Untitledsubclause2"/>
        <w:spacing w:before="60"/>
        <w:rPr>
          <w:szCs w:val="22"/>
        </w:rPr>
      </w:pPr>
      <w:bookmarkStart w:id="56" w:name="a571302"/>
      <w:r w:rsidRPr="00DC6D61">
        <w:rPr>
          <w:szCs w:val="22"/>
        </w:rPr>
        <w:t>the consequence of fraud, dishonesty, wilful concealment, wilful misrepresentation or gross negligence by or on behalf of the Warrantors; or</w:t>
      </w:r>
      <w:bookmarkEnd w:id="56"/>
    </w:p>
    <w:p w14:paraId="5F0C4346" w14:textId="77777777" w:rsidR="00DC6D61" w:rsidRPr="00DC6D61" w:rsidRDefault="00543848" w:rsidP="00DC6D61">
      <w:pPr>
        <w:pStyle w:val="Untitledsubclause2"/>
        <w:spacing w:before="60"/>
        <w:rPr>
          <w:szCs w:val="22"/>
        </w:rPr>
      </w:pPr>
      <w:bookmarkStart w:id="57" w:name="a240181"/>
      <w:r>
        <w:rPr>
          <w:szCs w:val="22"/>
        </w:rPr>
        <w:t xml:space="preserve"> </w:t>
      </w:r>
      <w:r w:rsidR="00DC6D61" w:rsidRPr="00DC6D61">
        <w:rPr>
          <w:szCs w:val="22"/>
        </w:rPr>
        <w:t xml:space="preserve">which is a result of a breach of the Warranties in paragraph </w:t>
      </w:r>
      <w:r w:rsidR="00DC6D61" w:rsidRPr="00B01532">
        <w:rPr>
          <w:szCs w:val="22"/>
        </w:rPr>
        <w:fldChar w:fldCharType="begin"/>
      </w:r>
      <w:r w:rsidR="00DC6D61" w:rsidRPr="00B01532">
        <w:rPr>
          <w:szCs w:val="22"/>
        </w:rPr>
        <w:instrText>REF a543404 \h \w \n</w:instrText>
      </w:r>
      <w:r w:rsidR="007D20B8" w:rsidRPr="00B01532">
        <w:rPr>
          <w:szCs w:val="22"/>
        </w:rPr>
        <w:instrText xml:space="preserve"> \* MERGEFORMAT </w:instrText>
      </w:r>
      <w:r w:rsidR="00DC6D61" w:rsidRPr="00B01532">
        <w:rPr>
          <w:szCs w:val="22"/>
        </w:rPr>
      </w:r>
      <w:r w:rsidR="00DC6D61" w:rsidRPr="00B01532">
        <w:rPr>
          <w:szCs w:val="22"/>
        </w:rPr>
        <w:fldChar w:fldCharType="separate"/>
      </w:r>
      <w:r w:rsidR="002B65AC" w:rsidRPr="00B01532">
        <w:rPr>
          <w:szCs w:val="22"/>
        </w:rPr>
        <w:t>1</w:t>
      </w:r>
      <w:r w:rsidR="00DC6D61" w:rsidRPr="00B01532">
        <w:rPr>
          <w:szCs w:val="22"/>
        </w:rPr>
        <w:fldChar w:fldCharType="end"/>
      </w:r>
      <w:r w:rsidR="00DC6D61" w:rsidRPr="00B01532">
        <w:rPr>
          <w:szCs w:val="22"/>
        </w:rPr>
        <w:t xml:space="preserve"> of </w:t>
      </w:r>
      <w:r w:rsidR="00DC6D61" w:rsidRPr="00B01532">
        <w:rPr>
          <w:szCs w:val="22"/>
        </w:rPr>
        <w:fldChar w:fldCharType="begin"/>
      </w:r>
      <w:r w:rsidR="00DC6D61" w:rsidRPr="00B01532">
        <w:rPr>
          <w:szCs w:val="22"/>
        </w:rPr>
        <w:instrText>REF a151368 \h \w \n</w:instrText>
      </w:r>
      <w:r w:rsidR="007D20B8" w:rsidRPr="00B01532">
        <w:rPr>
          <w:szCs w:val="22"/>
        </w:rPr>
        <w:instrText xml:space="preserve"> \* MERGEFORMAT </w:instrText>
      </w:r>
      <w:r w:rsidR="00DC6D61" w:rsidRPr="00B01532">
        <w:rPr>
          <w:szCs w:val="22"/>
        </w:rPr>
      </w:r>
      <w:r w:rsidR="00DC6D61" w:rsidRPr="00B01532">
        <w:rPr>
          <w:szCs w:val="22"/>
        </w:rPr>
        <w:fldChar w:fldCharType="separate"/>
      </w:r>
      <w:r w:rsidR="002B65AC" w:rsidRPr="00B01532">
        <w:rPr>
          <w:szCs w:val="22"/>
        </w:rPr>
        <w:t xml:space="preserve">Schedule </w:t>
      </w:r>
      <w:r w:rsidR="00DC6D61" w:rsidRPr="00B01532">
        <w:rPr>
          <w:szCs w:val="22"/>
        </w:rPr>
        <w:fldChar w:fldCharType="end"/>
      </w:r>
      <w:bookmarkEnd w:id="57"/>
      <w:r w:rsidR="0020098C">
        <w:rPr>
          <w:szCs w:val="22"/>
        </w:rPr>
        <w:t>3</w:t>
      </w:r>
      <w:r w:rsidR="00DE4B8E">
        <w:rPr>
          <w:szCs w:val="22"/>
        </w:rPr>
        <w:t>.</w:t>
      </w:r>
    </w:p>
    <w:p w14:paraId="747DC831" w14:textId="77777777" w:rsidR="00DC6D61" w:rsidRPr="00DC6D61" w:rsidRDefault="00DC6D61" w:rsidP="00DC6D61">
      <w:pPr>
        <w:pStyle w:val="Untitledsubclause1"/>
        <w:rPr>
          <w:szCs w:val="22"/>
        </w:rPr>
      </w:pPr>
      <w:bookmarkStart w:id="58" w:name="a233544"/>
      <w:r w:rsidRPr="00DC6D61">
        <w:rPr>
          <w:szCs w:val="22"/>
        </w:rPr>
        <w:lastRenderedPageBreak/>
        <w:t>The Warrantors shall not be liable for a Claim unless the Investor has given the Warrantors written notice of that Claim, specifying (in reasonable detail) the nature of the Claim and the amount claimed:</w:t>
      </w:r>
      <w:bookmarkEnd w:id="58"/>
    </w:p>
    <w:p w14:paraId="1875F1FF" w14:textId="77777777" w:rsidR="00DC6D61" w:rsidRPr="00DC6D61" w:rsidRDefault="00DE4B8E" w:rsidP="00DC6D61">
      <w:pPr>
        <w:pStyle w:val="Untitledsubclause2"/>
        <w:spacing w:before="60"/>
        <w:rPr>
          <w:szCs w:val="22"/>
        </w:rPr>
      </w:pPr>
      <w:bookmarkStart w:id="59" w:name="a1036469"/>
      <w:r>
        <w:rPr>
          <w:szCs w:val="22"/>
        </w:rPr>
        <w:t>in the case of any Claim, within 12 months</w:t>
      </w:r>
      <w:r w:rsidR="00DC6D61" w:rsidRPr="00DC6D61">
        <w:rPr>
          <w:szCs w:val="22"/>
        </w:rPr>
        <w:t>, beginning with the Completion Date.</w:t>
      </w:r>
      <w:bookmarkEnd w:id="59"/>
    </w:p>
    <w:p w14:paraId="7FD17037" w14:textId="77777777" w:rsidR="00DC6D61" w:rsidRPr="00DC6D61" w:rsidRDefault="00DC6D61" w:rsidP="00DC6D61">
      <w:pPr>
        <w:pStyle w:val="Untitledsubclause1"/>
        <w:rPr>
          <w:szCs w:val="22"/>
        </w:rPr>
      </w:pPr>
      <w:bookmarkStart w:id="60" w:name="a622172"/>
      <w:r w:rsidRPr="00DC6D61">
        <w:rPr>
          <w:szCs w:val="22"/>
        </w:rPr>
        <w:t>The aggregate liability of the Warrantors for all and any Claims when taken together shall be limited to:</w:t>
      </w:r>
      <w:bookmarkEnd w:id="60"/>
    </w:p>
    <w:p w14:paraId="20CAF11B" w14:textId="77777777" w:rsidR="00DC6D61" w:rsidRPr="00DC6D61" w:rsidRDefault="00781B71" w:rsidP="00DC6D61">
      <w:pPr>
        <w:pStyle w:val="Untitledsubclause2"/>
        <w:spacing w:before="60"/>
        <w:rPr>
          <w:szCs w:val="22"/>
        </w:rPr>
      </w:pPr>
      <w:bookmarkStart w:id="61" w:name="a865065"/>
      <w:r>
        <w:rPr>
          <w:szCs w:val="22"/>
        </w:rPr>
        <w:t>10% of the Aggregate Investment Sum</w:t>
      </w:r>
      <w:r w:rsidR="00DC6D61" w:rsidRPr="00DC6D61">
        <w:rPr>
          <w:szCs w:val="22"/>
        </w:rPr>
        <w:t>; and</w:t>
      </w:r>
      <w:bookmarkEnd w:id="61"/>
    </w:p>
    <w:p w14:paraId="24906DDB" w14:textId="77777777" w:rsidR="00DC6D61" w:rsidRPr="00DC6D61" w:rsidRDefault="00DC6D61" w:rsidP="00DC6D61">
      <w:pPr>
        <w:pStyle w:val="Untitledsubclause1"/>
        <w:rPr>
          <w:szCs w:val="22"/>
        </w:rPr>
      </w:pPr>
      <w:bookmarkStart w:id="62" w:name="a603860"/>
      <w:r w:rsidRPr="00DC6D61">
        <w:rPr>
          <w:szCs w:val="22"/>
        </w:rPr>
        <w:t>The Warrantors shall not be liable for any Claim unless:</w:t>
      </w:r>
      <w:bookmarkEnd w:id="62"/>
    </w:p>
    <w:p w14:paraId="53D32441" w14:textId="77777777" w:rsidR="00DC6D61" w:rsidRPr="00DC6D61" w:rsidRDefault="00DC6D61" w:rsidP="00DC6D61">
      <w:pPr>
        <w:pStyle w:val="Untitledsubclause2"/>
        <w:spacing w:before="60"/>
        <w:rPr>
          <w:szCs w:val="22"/>
        </w:rPr>
      </w:pPr>
      <w:bookmarkStart w:id="63" w:name="a395099"/>
      <w:r w:rsidRPr="00DC6D61">
        <w:rPr>
          <w:szCs w:val="22"/>
        </w:rPr>
        <w:t xml:space="preserve">the aggregate liability for any Claim exceeds </w:t>
      </w:r>
      <w:r w:rsidR="00781B71">
        <w:rPr>
          <w:szCs w:val="22"/>
        </w:rPr>
        <w:t>€50,000</w:t>
      </w:r>
      <w:r w:rsidRPr="00DC6D61">
        <w:rPr>
          <w:szCs w:val="22"/>
        </w:rPr>
        <w:t>, in which case the Warrantors shall be liable for the entire amount and not just the excess; and</w:t>
      </w:r>
      <w:bookmarkEnd w:id="63"/>
    </w:p>
    <w:p w14:paraId="6622A635" w14:textId="77777777" w:rsidR="00DC6D61" w:rsidRPr="00DC6D61" w:rsidRDefault="00DC6D61" w:rsidP="00DC6D61">
      <w:pPr>
        <w:pStyle w:val="Untitledsubclause2"/>
        <w:spacing w:before="60"/>
        <w:rPr>
          <w:szCs w:val="22"/>
        </w:rPr>
      </w:pPr>
      <w:bookmarkStart w:id="64" w:name="a785497"/>
      <w:r w:rsidRPr="00DC6D61">
        <w:rPr>
          <w:szCs w:val="22"/>
        </w:rPr>
        <w:t xml:space="preserve">in calculating liability for Claims for the purposes of clause </w:t>
      </w:r>
      <w:r w:rsidRPr="00DC6D61">
        <w:rPr>
          <w:szCs w:val="22"/>
        </w:rPr>
        <w:fldChar w:fldCharType="begin"/>
      </w:r>
      <w:r w:rsidRPr="00170081">
        <w:rPr>
          <w:szCs w:val="22"/>
          <w:highlight w:val="lightGray"/>
        </w:rPr>
        <w:instrText>REF a395099 \h \w \n \r</w:instrText>
      </w:r>
      <w:r w:rsidR="007D20B8" w:rsidRPr="00DC6D61">
        <w:rPr>
          <w:szCs w:val="22"/>
        </w:rPr>
        <w:instrText xml:space="preserve"> \* MERGEFORMAT </w:instrText>
      </w:r>
      <w:r w:rsidRPr="00DC6D61">
        <w:rPr>
          <w:szCs w:val="22"/>
        </w:rPr>
      </w:r>
      <w:r w:rsidRPr="00DC6D61">
        <w:rPr>
          <w:szCs w:val="22"/>
        </w:rPr>
        <w:fldChar w:fldCharType="separate"/>
      </w:r>
      <w:r w:rsidR="002B65AC" w:rsidRPr="00170081">
        <w:rPr>
          <w:szCs w:val="22"/>
          <w:highlight w:val="lightGray"/>
        </w:rPr>
        <w:t>(a)</w:t>
      </w:r>
      <w:r w:rsidRPr="00DC6D61">
        <w:rPr>
          <w:szCs w:val="22"/>
        </w:rPr>
        <w:fldChar w:fldCharType="end"/>
      </w:r>
      <w:r w:rsidRPr="00DC6D61">
        <w:rPr>
          <w:szCs w:val="22"/>
        </w:rPr>
        <w:t xml:space="preserve">, any Claim which is less than </w:t>
      </w:r>
      <w:r w:rsidR="00781B71">
        <w:rPr>
          <w:szCs w:val="22"/>
        </w:rPr>
        <w:t>€25,000</w:t>
      </w:r>
      <w:r w:rsidRPr="00DC6D61">
        <w:rPr>
          <w:szCs w:val="22"/>
        </w:rPr>
        <w:t xml:space="preserve"> [(excluding interest, costs and expenses)] shall be disregarded. For these purposes, </w:t>
      </w:r>
      <w:proofErr w:type="gramStart"/>
      <w:r w:rsidRPr="00DC6D61">
        <w:rPr>
          <w:szCs w:val="22"/>
        </w:rPr>
        <w:t>a number of</w:t>
      </w:r>
      <w:proofErr w:type="gramEnd"/>
      <w:r w:rsidRPr="00DC6D61">
        <w:rPr>
          <w:szCs w:val="22"/>
        </w:rPr>
        <w:t xml:space="preserve"> Claims arising out of the same or similar subject matter, facts, events or circumstances shall be aggregated to form a single Claim.</w:t>
      </w:r>
      <w:bookmarkEnd w:id="64"/>
    </w:p>
    <w:p w14:paraId="5A4F1BDD" w14:textId="77777777" w:rsidR="00DC6D61" w:rsidRPr="00DC6D61" w:rsidRDefault="00DC6D61" w:rsidP="00DC6D61">
      <w:pPr>
        <w:pStyle w:val="Untitledsubclause1"/>
        <w:rPr>
          <w:szCs w:val="22"/>
        </w:rPr>
      </w:pPr>
      <w:bookmarkStart w:id="65" w:name="a173636"/>
      <w:r w:rsidRPr="00DC6D61">
        <w:rPr>
          <w:szCs w:val="22"/>
        </w:rPr>
        <w:t>If, after any payment to the Investor in res</w:t>
      </w:r>
      <w:r w:rsidR="00543848">
        <w:rPr>
          <w:szCs w:val="22"/>
        </w:rPr>
        <w:t xml:space="preserve">pect of any Claim, the Company </w:t>
      </w:r>
      <w:r w:rsidRPr="00DC6D61">
        <w:rPr>
          <w:szCs w:val="22"/>
        </w:rPr>
        <w:t>receives any payment from any third party directly in respect of the loss suffered by the Company which resulted in the Claim, the Investor shall reimburse to the Warrantors an amount equal to the proportion of such payment which the amount paid by the Warrantors to the Investor bears to such loss.</w:t>
      </w:r>
      <w:bookmarkEnd w:id="65"/>
    </w:p>
    <w:p w14:paraId="27ECDA9B" w14:textId="77777777" w:rsidR="00DC6D61" w:rsidRPr="00DC6D61" w:rsidRDefault="00DC6D61" w:rsidP="00DC6D61">
      <w:pPr>
        <w:pStyle w:val="Untitledsubclause1"/>
        <w:rPr>
          <w:szCs w:val="22"/>
        </w:rPr>
      </w:pPr>
      <w:bookmarkStart w:id="66" w:name="a772234"/>
      <w:r w:rsidRPr="00DC6D61">
        <w:rPr>
          <w:szCs w:val="22"/>
        </w:rPr>
        <w:t>The Investor may not recover from the Warrantors under the Warranties more than once in respect of the same damages suffered.</w:t>
      </w:r>
      <w:bookmarkEnd w:id="66"/>
    </w:p>
    <w:p w14:paraId="448B46AC" w14:textId="77777777" w:rsidR="00DC6D61" w:rsidRPr="00DC6D61" w:rsidRDefault="00DC6D61" w:rsidP="00DC6D61">
      <w:pPr>
        <w:pStyle w:val="Untitledsubclause1"/>
        <w:rPr>
          <w:szCs w:val="22"/>
        </w:rPr>
      </w:pPr>
      <w:bookmarkStart w:id="67" w:name="a405291"/>
      <w:r w:rsidRPr="00DC6D61">
        <w:rPr>
          <w:szCs w:val="22"/>
        </w:rPr>
        <w:t>The Warrantors shall not be liable for any breach of Warranty shall arise:</w:t>
      </w:r>
      <w:bookmarkEnd w:id="67"/>
    </w:p>
    <w:p w14:paraId="2E231093" w14:textId="77777777" w:rsidR="00DC6D61" w:rsidRPr="00DC6D61" w:rsidRDefault="00DC6D61" w:rsidP="00DC6D61">
      <w:pPr>
        <w:pStyle w:val="Untitledsubclause2"/>
        <w:spacing w:before="60"/>
        <w:rPr>
          <w:szCs w:val="22"/>
        </w:rPr>
      </w:pPr>
      <w:bookmarkStart w:id="68" w:name="a185028"/>
      <w:r w:rsidRPr="00DC6D61">
        <w:rPr>
          <w:szCs w:val="22"/>
        </w:rPr>
        <w:t>if such breach occurs by reason of any matter which would not have arisen but for the coming into force of any legislation not in force at the Completion Date or by reason of any change to HM Revenue &amp; Customs</w:t>
      </w:r>
      <w:r w:rsidR="000C4166">
        <w:rPr>
          <w:szCs w:val="22"/>
        </w:rPr>
        <w:t xml:space="preserve"> (or other such relevant taxing / regulatory authority whether in the UK or overseas)</w:t>
      </w:r>
      <w:r w:rsidRPr="00DC6D61">
        <w:rPr>
          <w:szCs w:val="22"/>
        </w:rPr>
        <w:t xml:space="preserve"> practice occurring after the Completion Date; </w:t>
      </w:r>
      <w:bookmarkEnd w:id="68"/>
    </w:p>
    <w:p w14:paraId="123F93F3" w14:textId="77777777" w:rsidR="00DC6D61" w:rsidRPr="00DC6D61" w:rsidRDefault="00DC6D61" w:rsidP="00DC6D61">
      <w:pPr>
        <w:pStyle w:val="Untitledsubclause2"/>
        <w:spacing w:before="60"/>
        <w:rPr>
          <w:szCs w:val="22"/>
        </w:rPr>
      </w:pPr>
      <w:bookmarkStart w:id="69" w:name="a393287"/>
      <w:r w:rsidRPr="00DC6D61">
        <w:rPr>
          <w:szCs w:val="22"/>
        </w:rPr>
        <w:t>to the extent that such breach or claim arises as a result of any change in the accounting bases or policies in accordance with which the Company values its assets or calculates its liabilities or any other change in accounting practice from the treatment or application of the same used in preparing the Accounts (except to the extent that such changes are required to correct errors or because relevant generally accepted accounting principles have not been complied with)</w:t>
      </w:r>
      <w:bookmarkEnd w:id="69"/>
      <w:r w:rsidR="00543848">
        <w:rPr>
          <w:szCs w:val="22"/>
        </w:rPr>
        <w:t>.</w:t>
      </w:r>
    </w:p>
    <w:p w14:paraId="2C1B7BC3" w14:textId="77777777" w:rsidR="00DC6D61" w:rsidRPr="00DC6D61" w:rsidRDefault="00DC6D61" w:rsidP="00DC6D61">
      <w:pPr>
        <w:pStyle w:val="Untitledsubclause1"/>
        <w:rPr>
          <w:szCs w:val="22"/>
        </w:rPr>
      </w:pPr>
      <w:bookmarkStart w:id="70" w:name="a1030121"/>
      <w:r w:rsidRPr="00DC6D61">
        <w:rPr>
          <w:szCs w:val="22"/>
        </w:rPr>
        <w:t xml:space="preserve">The time limits in clause </w:t>
      </w:r>
      <w:r w:rsidRPr="00781B71">
        <w:rPr>
          <w:szCs w:val="22"/>
        </w:rPr>
        <w:fldChar w:fldCharType="begin"/>
      </w:r>
      <w:r w:rsidRPr="00781B71">
        <w:rPr>
          <w:szCs w:val="22"/>
        </w:rPr>
        <w:instrText>REF a233544 \h \w \n</w:instrText>
      </w:r>
      <w:r w:rsidR="007D20B8" w:rsidRPr="00781B71">
        <w:rPr>
          <w:szCs w:val="22"/>
        </w:rPr>
        <w:instrText xml:space="preserve"> \* MERGEFORMAT </w:instrText>
      </w:r>
      <w:r w:rsidRPr="00781B71">
        <w:rPr>
          <w:szCs w:val="22"/>
        </w:rPr>
      </w:r>
      <w:r w:rsidRPr="00781B71">
        <w:rPr>
          <w:szCs w:val="22"/>
        </w:rPr>
        <w:fldChar w:fldCharType="separate"/>
      </w:r>
      <w:r w:rsidR="000C4166" w:rsidRPr="00781B71">
        <w:rPr>
          <w:szCs w:val="22"/>
        </w:rPr>
        <w:t>5</w:t>
      </w:r>
      <w:r w:rsidR="002B65AC" w:rsidRPr="00781B71">
        <w:rPr>
          <w:szCs w:val="22"/>
        </w:rPr>
        <w:t>.2</w:t>
      </w:r>
      <w:r w:rsidRPr="00781B71">
        <w:rPr>
          <w:szCs w:val="22"/>
        </w:rPr>
        <w:fldChar w:fldCharType="end"/>
      </w:r>
      <w:r w:rsidRPr="00DC6D61">
        <w:rPr>
          <w:szCs w:val="22"/>
        </w:rPr>
        <w:t xml:space="preserve"> shall not limit any Claim in respect of liabilities that are con</w:t>
      </w:r>
      <w:r w:rsidR="00543848">
        <w:rPr>
          <w:szCs w:val="22"/>
        </w:rPr>
        <w:t>tingent or unascertained where written</w:t>
      </w:r>
      <w:r w:rsidRPr="00DC6D61">
        <w:rPr>
          <w:szCs w:val="22"/>
        </w:rPr>
        <w:t xml:space="preserve"> notice of the Claim (giving as far as practical the amount and details of the Claim) is given to the Warrantors before the expiry of the relevant periods specified in clause </w:t>
      </w:r>
      <w:r w:rsidRPr="00781B71">
        <w:rPr>
          <w:szCs w:val="22"/>
        </w:rPr>
        <w:fldChar w:fldCharType="begin"/>
      </w:r>
      <w:r w:rsidRPr="00781B71">
        <w:rPr>
          <w:szCs w:val="22"/>
        </w:rPr>
        <w:instrText>REF a233544 \h \w \n</w:instrText>
      </w:r>
      <w:r w:rsidR="007D20B8" w:rsidRPr="00781B71">
        <w:rPr>
          <w:szCs w:val="22"/>
        </w:rPr>
        <w:instrText xml:space="preserve"> \* MERGEFORMAT </w:instrText>
      </w:r>
      <w:r w:rsidRPr="00781B71">
        <w:rPr>
          <w:szCs w:val="22"/>
        </w:rPr>
      </w:r>
      <w:r w:rsidRPr="00781B71">
        <w:rPr>
          <w:szCs w:val="22"/>
        </w:rPr>
        <w:fldChar w:fldCharType="separate"/>
      </w:r>
      <w:r w:rsidR="000C4166" w:rsidRPr="00781B71">
        <w:rPr>
          <w:szCs w:val="22"/>
        </w:rPr>
        <w:t>5</w:t>
      </w:r>
      <w:r w:rsidR="002B65AC" w:rsidRPr="00781B71">
        <w:rPr>
          <w:szCs w:val="22"/>
        </w:rPr>
        <w:t>.2</w:t>
      </w:r>
      <w:r w:rsidRPr="00781B71">
        <w:rPr>
          <w:szCs w:val="22"/>
        </w:rPr>
        <w:fldChar w:fldCharType="end"/>
      </w:r>
      <w:r w:rsidRPr="00781B71">
        <w:rPr>
          <w:szCs w:val="22"/>
        </w:rPr>
        <w:t>.</w:t>
      </w:r>
      <w:bookmarkEnd w:id="70"/>
    </w:p>
    <w:p w14:paraId="3567C14E" w14:textId="77777777" w:rsidR="00DC6D61" w:rsidRPr="00DC6D61" w:rsidRDefault="00DC6D61" w:rsidP="00DC6D61">
      <w:pPr>
        <w:pStyle w:val="Untitledsubclause1"/>
        <w:rPr>
          <w:szCs w:val="22"/>
        </w:rPr>
      </w:pPr>
      <w:bookmarkStart w:id="71" w:name="a509246"/>
      <w:r w:rsidRPr="00DC6D61">
        <w:rPr>
          <w:szCs w:val="22"/>
        </w:rPr>
        <w:lastRenderedPageBreak/>
        <w:t>The Warrantors shall not be liable for a Claim to the extent that the matter or circumstance giving rise to such Claim was Disclosed.</w:t>
      </w:r>
      <w:bookmarkEnd w:id="71"/>
    </w:p>
    <w:p w14:paraId="686FA287" w14:textId="77777777" w:rsidR="00DC6D61" w:rsidRPr="00DC6D61" w:rsidRDefault="00DC6D61" w:rsidP="00DC6D61">
      <w:pPr>
        <w:pStyle w:val="Untitledsubclause1"/>
        <w:rPr>
          <w:szCs w:val="22"/>
        </w:rPr>
      </w:pPr>
      <w:bookmarkStart w:id="72" w:name="a297155"/>
      <w:r w:rsidRPr="00DC6D61">
        <w:rPr>
          <w:szCs w:val="22"/>
        </w:rPr>
        <w:t>The Warrantors shall not be liable for any Claim if the alleged breach which is the subject of the Claim is capable of</w:t>
      </w:r>
      <w:r w:rsidR="00543848">
        <w:rPr>
          <w:szCs w:val="22"/>
        </w:rPr>
        <w:t xml:space="preserve"> remedy and is remedied to the reasonable</w:t>
      </w:r>
      <w:r w:rsidRPr="00DC6D61">
        <w:rPr>
          <w:szCs w:val="22"/>
        </w:rPr>
        <w:t xml:space="preserve"> satisfaction of the Investor within </w:t>
      </w:r>
      <w:r w:rsidR="00781B71">
        <w:rPr>
          <w:szCs w:val="22"/>
        </w:rPr>
        <w:t>30</w:t>
      </w:r>
      <w:r w:rsidRPr="00DC6D61">
        <w:rPr>
          <w:szCs w:val="22"/>
        </w:rPr>
        <w:t xml:space="preserve"> Business Days of the date on which the notice in clause </w:t>
      </w:r>
      <w:r w:rsidRPr="00781B71">
        <w:rPr>
          <w:szCs w:val="22"/>
        </w:rPr>
        <w:fldChar w:fldCharType="begin"/>
      </w:r>
      <w:r w:rsidRPr="00781B71">
        <w:rPr>
          <w:szCs w:val="22"/>
        </w:rPr>
        <w:instrText>REF a233544 \h \w \n</w:instrText>
      </w:r>
      <w:r w:rsidR="007D20B8" w:rsidRPr="00781B71">
        <w:rPr>
          <w:szCs w:val="22"/>
        </w:rPr>
        <w:instrText xml:space="preserve"> \* MERGEFORMAT </w:instrText>
      </w:r>
      <w:r w:rsidRPr="00781B71">
        <w:rPr>
          <w:szCs w:val="22"/>
        </w:rPr>
      </w:r>
      <w:r w:rsidRPr="00781B71">
        <w:rPr>
          <w:szCs w:val="22"/>
        </w:rPr>
        <w:fldChar w:fldCharType="separate"/>
      </w:r>
      <w:r w:rsidR="000C4166" w:rsidRPr="00781B71">
        <w:rPr>
          <w:szCs w:val="22"/>
        </w:rPr>
        <w:t>5</w:t>
      </w:r>
      <w:r w:rsidR="002B65AC" w:rsidRPr="00781B71">
        <w:rPr>
          <w:szCs w:val="22"/>
        </w:rPr>
        <w:t>.2</w:t>
      </w:r>
      <w:r w:rsidRPr="00781B71">
        <w:rPr>
          <w:szCs w:val="22"/>
        </w:rPr>
        <w:fldChar w:fldCharType="end"/>
      </w:r>
      <w:r w:rsidRPr="00DC6D61">
        <w:rPr>
          <w:szCs w:val="22"/>
        </w:rPr>
        <w:t xml:space="preserve"> above is received by the Warrantors.</w:t>
      </w:r>
      <w:bookmarkEnd w:id="72"/>
    </w:p>
    <w:p w14:paraId="1DBB030A" w14:textId="77777777" w:rsidR="00DC6D61" w:rsidRPr="00DC6D61" w:rsidRDefault="00DC6D61" w:rsidP="00DC6D61">
      <w:pPr>
        <w:pStyle w:val="TitleClause"/>
        <w:rPr>
          <w:szCs w:val="22"/>
        </w:rPr>
      </w:pPr>
      <w:r w:rsidRPr="00DC6D61">
        <w:rPr>
          <w:szCs w:val="22"/>
        </w:rPr>
        <w:fldChar w:fldCharType="begin"/>
      </w:r>
      <w:r w:rsidRPr="00DC6D61">
        <w:rPr>
          <w:szCs w:val="22"/>
        </w:rPr>
        <w:instrText>TC "8. Accounting, business plan and information rights" \l 1</w:instrText>
      </w:r>
      <w:r w:rsidRPr="00DC6D61">
        <w:rPr>
          <w:szCs w:val="22"/>
        </w:rPr>
        <w:fldChar w:fldCharType="end"/>
      </w:r>
      <w:bookmarkStart w:id="73" w:name="a876868"/>
      <w:bookmarkStart w:id="74" w:name="_Toc256000007"/>
      <w:r w:rsidRPr="00DC6D61">
        <w:rPr>
          <w:szCs w:val="22"/>
        </w:rPr>
        <w:t>Accounting, business plan and information rights</w:t>
      </w:r>
      <w:bookmarkEnd w:id="73"/>
      <w:bookmarkEnd w:id="74"/>
    </w:p>
    <w:p w14:paraId="2A7062FD" w14:textId="77777777" w:rsidR="00DC6D61" w:rsidRPr="00DC6D61" w:rsidRDefault="00DC6D61" w:rsidP="00DC6D61">
      <w:pPr>
        <w:pStyle w:val="Untitledsubclause1"/>
        <w:rPr>
          <w:szCs w:val="22"/>
        </w:rPr>
      </w:pPr>
      <w:bookmarkStart w:id="75" w:name="a171453"/>
      <w:r w:rsidRPr="00DC6D61">
        <w:rPr>
          <w:szCs w:val="22"/>
        </w:rPr>
        <w:t xml:space="preserve">The Company shall procure that </w:t>
      </w:r>
      <w:r w:rsidR="000C4166">
        <w:rPr>
          <w:szCs w:val="22"/>
        </w:rPr>
        <w:t xml:space="preserve">GM </w:t>
      </w:r>
      <w:r w:rsidRPr="00DC6D61">
        <w:rPr>
          <w:szCs w:val="22"/>
        </w:rPr>
        <w:t xml:space="preserve">shall, </w:t>
      </w:r>
      <w:proofErr w:type="gramStart"/>
      <w:r w:rsidRPr="00DC6D61">
        <w:rPr>
          <w:szCs w:val="22"/>
        </w:rPr>
        <w:t>at all times</w:t>
      </w:r>
      <w:proofErr w:type="gramEnd"/>
      <w:r w:rsidRPr="00DC6D61">
        <w:rPr>
          <w:szCs w:val="22"/>
        </w:rPr>
        <w:t xml:space="preserve"> maintain accurate and complete accounting and other financial records</w:t>
      </w:r>
      <w:r w:rsidR="00D15878">
        <w:rPr>
          <w:szCs w:val="22"/>
        </w:rPr>
        <w:t xml:space="preserve"> in relation to the Project.</w:t>
      </w:r>
      <w:bookmarkEnd w:id="75"/>
    </w:p>
    <w:p w14:paraId="34923AE9" w14:textId="77777777" w:rsidR="00DC6D61" w:rsidRPr="00DC6D61" w:rsidRDefault="00DC6D61" w:rsidP="00DC6D61">
      <w:pPr>
        <w:pStyle w:val="Untitledsubclause1"/>
        <w:rPr>
          <w:szCs w:val="22"/>
        </w:rPr>
      </w:pPr>
      <w:bookmarkStart w:id="76" w:name="a240089"/>
      <w:r w:rsidRPr="00DC6D61">
        <w:rPr>
          <w:szCs w:val="22"/>
        </w:rPr>
        <w:t xml:space="preserve">The Company shall procure that </w:t>
      </w:r>
      <w:r w:rsidR="000C4166">
        <w:rPr>
          <w:szCs w:val="22"/>
        </w:rPr>
        <w:t xml:space="preserve">GM </w:t>
      </w:r>
      <w:r w:rsidRPr="00DC6D61">
        <w:rPr>
          <w:szCs w:val="22"/>
        </w:rPr>
        <w:t>shal</w:t>
      </w:r>
      <w:r w:rsidR="00A859BD">
        <w:rPr>
          <w:szCs w:val="22"/>
        </w:rPr>
        <w:t xml:space="preserve">l, prepare management accounts </w:t>
      </w:r>
      <w:r w:rsidRPr="00DC6D61">
        <w:rPr>
          <w:szCs w:val="22"/>
        </w:rPr>
        <w:t>(in a form reasonably acceptable to the Investor)</w:t>
      </w:r>
      <w:r w:rsidR="00D15878">
        <w:rPr>
          <w:szCs w:val="22"/>
        </w:rPr>
        <w:t xml:space="preserve"> in relation to the Project</w:t>
      </w:r>
      <w:r w:rsidRPr="00DC6D61">
        <w:rPr>
          <w:szCs w:val="22"/>
        </w:rPr>
        <w:t xml:space="preserve"> </w:t>
      </w:r>
      <w:r w:rsidR="00A859BD">
        <w:rPr>
          <w:szCs w:val="22"/>
        </w:rPr>
        <w:t>and shall send copies to the Investor</w:t>
      </w:r>
      <w:r w:rsidR="00A20C52">
        <w:rPr>
          <w:szCs w:val="22"/>
        </w:rPr>
        <w:t xml:space="preserve"> within </w:t>
      </w:r>
      <w:r w:rsidR="00781B71">
        <w:rPr>
          <w:szCs w:val="22"/>
        </w:rPr>
        <w:t>30</w:t>
      </w:r>
      <w:r w:rsidRPr="00DC6D61">
        <w:rPr>
          <w:szCs w:val="22"/>
        </w:rPr>
        <w:t xml:space="preserve"> days of the end of each</w:t>
      </w:r>
      <w:r w:rsidR="00A859BD">
        <w:rPr>
          <w:szCs w:val="22"/>
        </w:rPr>
        <w:t xml:space="preserve"> quarter</w:t>
      </w:r>
      <w:r w:rsidRPr="00DC6D61">
        <w:rPr>
          <w:szCs w:val="22"/>
        </w:rPr>
        <w:t>.</w:t>
      </w:r>
      <w:bookmarkEnd w:id="76"/>
    </w:p>
    <w:p w14:paraId="68EABC8E" w14:textId="77777777" w:rsidR="00DC6D61" w:rsidRPr="00DC6D61" w:rsidRDefault="00DC6D61" w:rsidP="00DC6D61">
      <w:pPr>
        <w:pStyle w:val="Untitledsubclause1"/>
        <w:rPr>
          <w:szCs w:val="22"/>
        </w:rPr>
      </w:pPr>
      <w:bookmarkStart w:id="77" w:name="a532660"/>
      <w:r w:rsidRPr="00DC6D61">
        <w:rPr>
          <w:szCs w:val="22"/>
        </w:rPr>
        <w:t>The Founders shall procure that the Company shall continue to prepare a business plan</w:t>
      </w:r>
      <w:r w:rsidR="00D15878">
        <w:rPr>
          <w:szCs w:val="22"/>
        </w:rPr>
        <w:t xml:space="preserve"> in relation to the Project</w:t>
      </w:r>
      <w:r w:rsidRPr="00DC6D61">
        <w:rPr>
          <w:szCs w:val="22"/>
        </w:rPr>
        <w:t xml:space="preserve"> for the Company for each fi</w:t>
      </w:r>
      <w:r w:rsidR="00A859BD">
        <w:rPr>
          <w:szCs w:val="22"/>
        </w:rPr>
        <w:t>nancial year and shall provide the Investor</w:t>
      </w:r>
      <w:r w:rsidRPr="00DC6D61">
        <w:rPr>
          <w:szCs w:val="22"/>
        </w:rPr>
        <w:t xml:space="preserve"> with a copy of </w:t>
      </w:r>
      <w:r w:rsidR="00D15878">
        <w:rPr>
          <w:szCs w:val="22"/>
        </w:rPr>
        <w:t>such</w:t>
      </w:r>
      <w:r w:rsidRPr="00DC6D61">
        <w:rPr>
          <w:szCs w:val="22"/>
        </w:rPr>
        <w:t xml:space="preserve"> </w:t>
      </w:r>
      <w:r w:rsidR="00C140A5">
        <w:rPr>
          <w:szCs w:val="22"/>
        </w:rPr>
        <w:t>business plan</w:t>
      </w:r>
      <w:r w:rsidRPr="00DC6D61">
        <w:rPr>
          <w:szCs w:val="22"/>
        </w:rPr>
        <w:t>.</w:t>
      </w:r>
      <w:bookmarkEnd w:id="77"/>
    </w:p>
    <w:p w14:paraId="10509178" w14:textId="77777777" w:rsidR="00DC6D61" w:rsidRPr="00DC6D61" w:rsidRDefault="00A859BD" w:rsidP="00DC6D61">
      <w:pPr>
        <w:pStyle w:val="Untitledsubclause1"/>
        <w:rPr>
          <w:szCs w:val="22"/>
        </w:rPr>
      </w:pPr>
      <w:bookmarkStart w:id="78" w:name="a644108"/>
      <w:r>
        <w:rPr>
          <w:szCs w:val="22"/>
        </w:rPr>
        <w:t xml:space="preserve">At least </w:t>
      </w:r>
      <w:r w:rsidR="00781B71">
        <w:rPr>
          <w:szCs w:val="22"/>
        </w:rPr>
        <w:t>30</w:t>
      </w:r>
      <w:r w:rsidR="00DC6D61" w:rsidRPr="00DC6D61">
        <w:rPr>
          <w:szCs w:val="22"/>
        </w:rPr>
        <w:t xml:space="preserve"> Business Days before the end of each fin</w:t>
      </w:r>
      <w:r>
        <w:rPr>
          <w:szCs w:val="22"/>
        </w:rPr>
        <w:t>ancial year, the Company shall</w:t>
      </w:r>
      <w:r w:rsidR="00DC6D61" w:rsidRPr="00DC6D61">
        <w:rPr>
          <w:szCs w:val="22"/>
        </w:rPr>
        <w:t xml:space="preserve"> prepare a detailed operating and capital budget and cash flow forecast for the next financial year</w:t>
      </w:r>
      <w:r w:rsidR="00D15878">
        <w:rPr>
          <w:szCs w:val="22"/>
        </w:rPr>
        <w:t xml:space="preserve"> in relation to the Project</w:t>
      </w:r>
      <w:r w:rsidR="00DC6D61" w:rsidRPr="00DC6D61">
        <w:rPr>
          <w:szCs w:val="22"/>
        </w:rPr>
        <w:t>.</w:t>
      </w:r>
      <w:bookmarkEnd w:id="78"/>
    </w:p>
    <w:p w14:paraId="7DE9620F" w14:textId="77777777" w:rsidR="00DC6D61" w:rsidRPr="00DC6D61" w:rsidRDefault="00DC6D61" w:rsidP="00DC6D61">
      <w:pPr>
        <w:pStyle w:val="TitleClause"/>
        <w:rPr>
          <w:szCs w:val="22"/>
        </w:rPr>
      </w:pPr>
      <w:r w:rsidRPr="00DC6D61">
        <w:rPr>
          <w:szCs w:val="22"/>
        </w:rPr>
        <w:fldChar w:fldCharType="begin"/>
      </w:r>
      <w:r w:rsidRPr="00DC6D61">
        <w:rPr>
          <w:szCs w:val="22"/>
        </w:rPr>
        <w:instrText>TC "10. Promotion of the company's business" \l 1</w:instrText>
      </w:r>
      <w:r w:rsidRPr="00DC6D61">
        <w:rPr>
          <w:szCs w:val="22"/>
        </w:rPr>
        <w:fldChar w:fldCharType="end"/>
      </w:r>
      <w:bookmarkStart w:id="79" w:name="a740809"/>
      <w:bookmarkStart w:id="80" w:name="_Toc256000009"/>
      <w:r w:rsidRPr="00DC6D61">
        <w:rPr>
          <w:szCs w:val="22"/>
        </w:rPr>
        <w:t>Promotion of the company's business</w:t>
      </w:r>
      <w:bookmarkEnd w:id="79"/>
      <w:bookmarkEnd w:id="80"/>
    </w:p>
    <w:p w14:paraId="7D63E5DD" w14:textId="77777777" w:rsidR="00DC6D61" w:rsidRPr="00DC6D61" w:rsidRDefault="00DC6D61" w:rsidP="00DC6D61">
      <w:pPr>
        <w:pStyle w:val="Untitledsubclause1"/>
        <w:rPr>
          <w:szCs w:val="22"/>
        </w:rPr>
      </w:pPr>
      <w:bookmarkStart w:id="81" w:name="a829167"/>
      <w:r w:rsidRPr="00DC6D61">
        <w:rPr>
          <w:szCs w:val="22"/>
        </w:rPr>
        <w:t xml:space="preserve">The Company shall apply the </w:t>
      </w:r>
      <w:r w:rsidR="00370FFC">
        <w:rPr>
          <w:szCs w:val="22"/>
        </w:rPr>
        <w:t xml:space="preserve">Principal Investment </w:t>
      </w:r>
      <w:r w:rsidR="004539EC">
        <w:rPr>
          <w:szCs w:val="22"/>
        </w:rPr>
        <w:t>as part of the Aggregate Investment Sum</w:t>
      </w:r>
      <w:r w:rsidRPr="00DC6D61">
        <w:rPr>
          <w:szCs w:val="22"/>
        </w:rPr>
        <w:t>.</w:t>
      </w:r>
      <w:bookmarkEnd w:id="81"/>
    </w:p>
    <w:p w14:paraId="7C763868" w14:textId="77777777" w:rsidR="00C140A5" w:rsidRDefault="00C140A5" w:rsidP="00DC6D61">
      <w:pPr>
        <w:pStyle w:val="TitleClause"/>
        <w:rPr>
          <w:szCs w:val="22"/>
        </w:rPr>
      </w:pPr>
      <w:r>
        <w:rPr>
          <w:szCs w:val="22"/>
        </w:rPr>
        <w:t xml:space="preserve">Realisation of </w:t>
      </w:r>
      <w:r w:rsidR="004539EC">
        <w:rPr>
          <w:szCs w:val="22"/>
        </w:rPr>
        <w:t>Principal Investment &amp;</w:t>
      </w:r>
      <w:r w:rsidR="00781B71">
        <w:rPr>
          <w:szCs w:val="22"/>
        </w:rPr>
        <w:t xml:space="preserve"> </w:t>
      </w:r>
      <w:r>
        <w:rPr>
          <w:szCs w:val="22"/>
        </w:rPr>
        <w:t>Profit</w:t>
      </w:r>
      <w:r w:rsidR="008D05B4">
        <w:rPr>
          <w:szCs w:val="22"/>
        </w:rPr>
        <w:t xml:space="preserve"> and further call on Investor funds</w:t>
      </w:r>
    </w:p>
    <w:p w14:paraId="5E5EE7FD" w14:textId="77777777" w:rsidR="009D0979" w:rsidRDefault="004539EC" w:rsidP="00610C1A">
      <w:pPr>
        <w:pStyle w:val="Untitledsubclause1"/>
        <w:rPr>
          <w:szCs w:val="22"/>
        </w:rPr>
      </w:pPr>
      <w:r>
        <w:rPr>
          <w:szCs w:val="22"/>
        </w:rPr>
        <w:t>Subject to the calculation of Profit, t</w:t>
      </w:r>
      <w:r w:rsidR="00CE29EE">
        <w:rPr>
          <w:szCs w:val="22"/>
        </w:rPr>
        <w:t>he Company shall pay the Investor</w:t>
      </w:r>
      <w:r w:rsidR="009D0979">
        <w:rPr>
          <w:szCs w:val="22"/>
        </w:rPr>
        <w:t xml:space="preserve"> as follows: </w:t>
      </w:r>
    </w:p>
    <w:p w14:paraId="79F6B8A3" w14:textId="77777777" w:rsidR="009D0979" w:rsidRDefault="00CE29EE" w:rsidP="001D03E8">
      <w:pPr>
        <w:pStyle w:val="Untitledsubclause2"/>
        <w:rPr>
          <w:szCs w:val="22"/>
        </w:rPr>
      </w:pPr>
      <w:r w:rsidRPr="00B57DE8">
        <w:rPr>
          <w:szCs w:val="22"/>
        </w:rPr>
        <w:t xml:space="preserve"> the</w:t>
      </w:r>
      <w:r w:rsidR="00370FFC" w:rsidRPr="005D4A34">
        <w:rPr>
          <w:szCs w:val="22"/>
        </w:rPr>
        <w:t xml:space="preserve"> </w:t>
      </w:r>
      <w:r w:rsidR="004521CF" w:rsidRPr="005D4A34">
        <w:rPr>
          <w:szCs w:val="22"/>
        </w:rPr>
        <w:t>Principal Investment</w:t>
      </w:r>
    </w:p>
    <w:p w14:paraId="09163C5B" w14:textId="77777777" w:rsidR="009D0979" w:rsidRDefault="005D4A34" w:rsidP="001D03E8">
      <w:pPr>
        <w:pStyle w:val="Untitledsubclause2"/>
        <w:numPr>
          <w:ilvl w:val="0"/>
          <w:numId w:val="0"/>
        </w:numPr>
        <w:ind w:left="1555"/>
        <w:rPr>
          <w:szCs w:val="22"/>
        </w:rPr>
      </w:pPr>
      <w:r>
        <w:rPr>
          <w:szCs w:val="22"/>
        </w:rPr>
        <w:t xml:space="preserve">plus  </w:t>
      </w:r>
    </w:p>
    <w:p w14:paraId="35161B58" w14:textId="77777777" w:rsidR="009D0979" w:rsidRDefault="009D0979" w:rsidP="001D03E8">
      <w:pPr>
        <w:pStyle w:val="Untitledsubclause2"/>
        <w:numPr>
          <w:ilvl w:val="0"/>
          <w:numId w:val="0"/>
        </w:numPr>
        <w:ind w:left="1555"/>
        <w:rPr>
          <w:szCs w:val="22"/>
        </w:rPr>
      </w:pPr>
      <w:r>
        <w:rPr>
          <w:szCs w:val="22"/>
        </w:rPr>
        <w:t>the Profit</w:t>
      </w:r>
      <w:r w:rsidR="005D4A34">
        <w:rPr>
          <w:szCs w:val="22"/>
        </w:rPr>
        <w:t xml:space="preserve"> (which may be a positive or negative integer)</w:t>
      </w:r>
    </w:p>
    <w:p w14:paraId="2C23BFDC" w14:textId="77777777" w:rsidR="00610C1A" w:rsidRPr="00572DB4" w:rsidRDefault="00610C1A" w:rsidP="001D03E8">
      <w:pPr>
        <w:pStyle w:val="Untitledsubclause2"/>
        <w:numPr>
          <w:ilvl w:val="0"/>
          <w:numId w:val="0"/>
        </w:numPr>
        <w:ind w:left="1555"/>
        <w:rPr>
          <w:szCs w:val="22"/>
        </w:rPr>
      </w:pPr>
      <w:r w:rsidRPr="005D4A34">
        <w:rPr>
          <w:szCs w:val="22"/>
        </w:rPr>
        <w:t>no later than the Long St</w:t>
      </w:r>
      <w:r w:rsidRPr="00572DB4">
        <w:rPr>
          <w:szCs w:val="22"/>
        </w:rPr>
        <w:t>op Date notwithstanding the Company shall at its sole discretion retain the right to pay the Investor prior to the Long Stop Date should such surplus funds be available to it.</w:t>
      </w:r>
    </w:p>
    <w:p w14:paraId="728419EF" w14:textId="77777777" w:rsidR="009D0979" w:rsidRDefault="009D0979" w:rsidP="00610C1A">
      <w:pPr>
        <w:pStyle w:val="Untitledsubclause1"/>
        <w:rPr>
          <w:szCs w:val="22"/>
        </w:rPr>
      </w:pPr>
      <w:r>
        <w:rPr>
          <w:szCs w:val="22"/>
        </w:rPr>
        <w:t>Any payments made by the Company in accordance with clause 8.1 above shall be treated as a repayment of the Principal Investment first and thereafter payment of Profit.</w:t>
      </w:r>
    </w:p>
    <w:p w14:paraId="50E3DCCF" w14:textId="77777777" w:rsidR="00323B93" w:rsidRDefault="00323B93" w:rsidP="00610C1A">
      <w:pPr>
        <w:pStyle w:val="Untitledsubclause1"/>
        <w:rPr>
          <w:szCs w:val="22"/>
        </w:rPr>
      </w:pPr>
      <w:r>
        <w:rPr>
          <w:szCs w:val="22"/>
        </w:rPr>
        <w:lastRenderedPageBreak/>
        <w:t xml:space="preserve">The Company may, at its discretion, direct </w:t>
      </w:r>
      <w:r w:rsidR="00386240">
        <w:rPr>
          <w:szCs w:val="22"/>
        </w:rPr>
        <w:t>Fine Holdings</w:t>
      </w:r>
      <w:r>
        <w:rPr>
          <w:szCs w:val="22"/>
        </w:rPr>
        <w:t xml:space="preserve"> to repay the Investor its Principal Investment</w:t>
      </w:r>
      <w:r w:rsidR="005D4A34">
        <w:rPr>
          <w:szCs w:val="22"/>
        </w:rPr>
        <w:t xml:space="preserve"> and</w:t>
      </w:r>
      <w:r>
        <w:rPr>
          <w:szCs w:val="22"/>
        </w:rPr>
        <w:t xml:space="preserve"> Profit (if any)</w:t>
      </w:r>
      <w:r w:rsidR="006A301D">
        <w:rPr>
          <w:szCs w:val="22"/>
        </w:rPr>
        <w:t xml:space="preserve"> or any part of it</w:t>
      </w:r>
      <w:r>
        <w:rPr>
          <w:szCs w:val="22"/>
        </w:rPr>
        <w:t>.</w:t>
      </w:r>
    </w:p>
    <w:p w14:paraId="509ADC1F" w14:textId="77777777" w:rsidR="006934BA" w:rsidRDefault="008D05B4" w:rsidP="006934BA">
      <w:pPr>
        <w:pStyle w:val="Untitledsubclause1"/>
        <w:rPr>
          <w:szCs w:val="22"/>
        </w:rPr>
      </w:pPr>
      <w:r>
        <w:rPr>
          <w:szCs w:val="22"/>
        </w:rPr>
        <w:t xml:space="preserve">In the event that Company requires the Aggregate Investment Sum to increase due to unforeseen circumstances (and as a result of any reasonable adjustments to the amounts required in the Net Income), the Company shall </w:t>
      </w:r>
      <w:r w:rsidR="006934BA">
        <w:rPr>
          <w:szCs w:val="22"/>
        </w:rPr>
        <w:t>at first instance request such additional funds from the Investors in the proportions of such Investment made by each Investor as a proportion to the Aggregate Investment Sum.</w:t>
      </w:r>
    </w:p>
    <w:p w14:paraId="5FFB72D1" w14:textId="77777777" w:rsidR="006934BA" w:rsidRPr="00B57DE8" w:rsidRDefault="006934BA" w:rsidP="00C220F2">
      <w:pPr>
        <w:pStyle w:val="Untitledsubclause1"/>
        <w:rPr>
          <w:szCs w:val="22"/>
        </w:rPr>
      </w:pPr>
      <w:r>
        <w:rPr>
          <w:szCs w:val="22"/>
        </w:rPr>
        <w:t xml:space="preserve">The Investor may but is not obliged to increase the amount of its Principal Investment in accordance with clause </w:t>
      </w:r>
      <w:r w:rsidR="006D0106">
        <w:rPr>
          <w:szCs w:val="22"/>
        </w:rPr>
        <w:t>8</w:t>
      </w:r>
      <w:r>
        <w:rPr>
          <w:szCs w:val="22"/>
        </w:rPr>
        <w:t>.</w:t>
      </w:r>
      <w:r w:rsidR="00484EAB">
        <w:rPr>
          <w:szCs w:val="22"/>
        </w:rPr>
        <w:t>4</w:t>
      </w:r>
      <w:r>
        <w:rPr>
          <w:szCs w:val="22"/>
        </w:rPr>
        <w:t xml:space="preserve"> above. In the event the Investor elects not to increase its Principal Investment, any such amounts required </w:t>
      </w:r>
      <w:r w:rsidR="00C220F2">
        <w:rPr>
          <w:szCs w:val="22"/>
        </w:rPr>
        <w:t xml:space="preserve">by the Company may be provided </w:t>
      </w:r>
      <w:r>
        <w:rPr>
          <w:szCs w:val="22"/>
        </w:rPr>
        <w:t xml:space="preserve">by the Company or any other third party. </w:t>
      </w:r>
      <w:r w:rsidR="00C220F2">
        <w:rPr>
          <w:szCs w:val="22"/>
        </w:rPr>
        <w:t xml:space="preserve">In the event any additional monies required to increase the Aggregate Investment Sum are provided from any party other than the Investor, the calculation of Profit shall </w:t>
      </w:r>
      <w:proofErr w:type="gramStart"/>
      <w:r w:rsidR="00C220F2">
        <w:rPr>
          <w:szCs w:val="22"/>
        </w:rPr>
        <w:t>take into account</w:t>
      </w:r>
      <w:proofErr w:type="gramEnd"/>
      <w:r w:rsidR="00C220F2">
        <w:rPr>
          <w:szCs w:val="22"/>
        </w:rPr>
        <w:t xml:space="preserve"> the dilution of the Investors proportion as a percentage of the increased Aggregate Investment Sum.</w:t>
      </w:r>
    </w:p>
    <w:p w14:paraId="4C70A8CC" w14:textId="77777777" w:rsidR="00DC6D61" w:rsidRPr="00DC6D61" w:rsidRDefault="00DC6D61" w:rsidP="00DC6D61">
      <w:pPr>
        <w:pStyle w:val="TitleClause"/>
        <w:rPr>
          <w:szCs w:val="22"/>
        </w:rPr>
      </w:pPr>
      <w:r w:rsidRPr="00DC6D61">
        <w:rPr>
          <w:szCs w:val="22"/>
        </w:rPr>
        <w:fldChar w:fldCharType="begin"/>
      </w:r>
      <w:r w:rsidRPr="00DC6D61">
        <w:rPr>
          <w:szCs w:val="22"/>
        </w:rPr>
        <w:instrText>TC "16. Confidentiality and announcements" \l 1</w:instrText>
      </w:r>
      <w:r w:rsidRPr="00DC6D61">
        <w:rPr>
          <w:szCs w:val="22"/>
        </w:rPr>
        <w:fldChar w:fldCharType="end"/>
      </w:r>
      <w:bookmarkStart w:id="82" w:name="a507836"/>
      <w:bookmarkStart w:id="83" w:name="_Toc256000015"/>
      <w:r w:rsidRPr="00DC6D61">
        <w:rPr>
          <w:szCs w:val="22"/>
        </w:rPr>
        <w:t>Confidentiality and announcements</w:t>
      </w:r>
      <w:bookmarkEnd w:id="82"/>
      <w:bookmarkEnd w:id="83"/>
    </w:p>
    <w:p w14:paraId="19087107" w14:textId="77777777" w:rsidR="00DC6D61" w:rsidRPr="00DC6D61" w:rsidRDefault="00DC6D61" w:rsidP="00DC6D61">
      <w:pPr>
        <w:pStyle w:val="Untitledsubclause1"/>
        <w:rPr>
          <w:szCs w:val="22"/>
        </w:rPr>
      </w:pPr>
      <w:bookmarkStart w:id="84" w:name="a904083"/>
      <w:r w:rsidRPr="00DC6D61">
        <w:rPr>
          <w:szCs w:val="22"/>
        </w:rPr>
        <w:t>Except as provided elsewhere in this agreement, and excluding any information which is in the public domain (other than through the wrongful disclosure of any party), or which any party is required to disclose by law or by the rules of any regulatory body to which the Company is subject, each party agrees to keep secret and confidential and not to use, disclose or di</w:t>
      </w:r>
      <w:r w:rsidR="00370FFC">
        <w:rPr>
          <w:szCs w:val="22"/>
        </w:rPr>
        <w:t xml:space="preserve">vulge to any third party </w:t>
      </w:r>
      <w:r w:rsidRPr="00DC6D61">
        <w:rPr>
          <w:szCs w:val="22"/>
        </w:rPr>
        <w:t>(other than a</w:t>
      </w:r>
      <w:r w:rsidR="00370FFC">
        <w:rPr>
          <w:szCs w:val="22"/>
        </w:rPr>
        <w:t xml:space="preserve"> party's professional advisers)</w:t>
      </w:r>
      <w:r w:rsidRPr="00DC6D61">
        <w:rPr>
          <w:szCs w:val="22"/>
        </w:rPr>
        <w:t xml:space="preserve"> any:</w:t>
      </w:r>
      <w:bookmarkEnd w:id="84"/>
    </w:p>
    <w:p w14:paraId="73E4E7FD" w14:textId="77777777" w:rsidR="00DC6D61" w:rsidRPr="00DC6D61" w:rsidRDefault="00D636FF" w:rsidP="00DC6D61">
      <w:pPr>
        <w:pStyle w:val="Untitledsubclause2"/>
        <w:spacing w:before="60"/>
        <w:rPr>
          <w:szCs w:val="22"/>
        </w:rPr>
      </w:pPr>
      <w:bookmarkStart w:id="85" w:name="a153811"/>
      <w:r>
        <w:rPr>
          <w:szCs w:val="22"/>
        </w:rPr>
        <w:t>C</w:t>
      </w:r>
      <w:r w:rsidR="00DC6D61" w:rsidRPr="00DC6D61">
        <w:rPr>
          <w:szCs w:val="22"/>
        </w:rPr>
        <w:t xml:space="preserve">onfidential </w:t>
      </w:r>
      <w:r>
        <w:rPr>
          <w:szCs w:val="22"/>
        </w:rPr>
        <w:t>I</w:t>
      </w:r>
      <w:r w:rsidR="00DC6D61" w:rsidRPr="00DC6D61">
        <w:rPr>
          <w:szCs w:val="22"/>
        </w:rPr>
        <w:t>nformation relating to the Company; or</w:t>
      </w:r>
      <w:bookmarkEnd w:id="85"/>
    </w:p>
    <w:p w14:paraId="2FA4DBEF" w14:textId="77777777" w:rsidR="00DC6D61" w:rsidRPr="00DC6D61" w:rsidRDefault="00D636FF" w:rsidP="00DC6D61">
      <w:pPr>
        <w:pStyle w:val="Untitledsubclause2"/>
        <w:spacing w:before="60"/>
        <w:rPr>
          <w:szCs w:val="22"/>
        </w:rPr>
      </w:pPr>
      <w:bookmarkStart w:id="86" w:name="a420310"/>
      <w:r>
        <w:rPr>
          <w:szCs w:val="22"/>
        </w:rPr>
        <w:t>C</w:t>
      </w:r>
      <w:r w:rsidR="00AE1B59">
        <w:rPr>
          <w:szCs w:val="22"/>
        </w:rPr>
        <w:t xml:space="preserve">onfidential </w:t>
      </w:r>
      <w:r>
        <w:rPr>
          <w:szCs w:val="22"/>
        </w:rPr>
        <w:t>I</w:t>
      </w:r>
      <w:r w:rsidR="00DC6D61" w:rsidRPr="00DC6D61">
        <w:rPr>
          <w:szCs w:val="22"/>
        </w:rPr>
        <w:t>nformation concerni</w:t>
      </w:r>
      <w:r w:rsidR="00370FFC">
        <w:rPr>
          <w:szCs w:val="22"/>
        </w:rPr>
        <w:t>ng the Investor</w:t>
      </w:r>
      <w:r w:rsidR="00DC6D61" w:rsidRPr="00DC6D61">
        <w:rPr>
          <w:szCs w:val="22"/>
        </w:rPr>
        <w:t>.</w:t>
      </w:r>
      <w:bookmarkEnd w:id="86"/>
    </w:p>
    <w:p w14:paraId="62961F96" w14:textId="77777777" w:rsidR="00DC6D61" w:rsidRPr="00DC6D61" w:rsidRDefault="00370FFC" w:rsidP="00DC6D61">
      <w:pPr>
        <w:pStyle w:val="Untitledsubclause1"/>
        <w:rPr>
          <w:szCs w:val="22"/>
        </w:rPr>
      </w:pPr>
      <w:bookmarkStart w:id="87" w:name="a560287"/>
      <w:r>
        <w:rPr>
          <w:szCs w:val="22"/>
        </w:rPr>
        <w:t>T</w:t>
      </w:r>
      <w:r w:rsidR="00DC6D61" w:rsidRPr="00DC6D61">
        <w:rPr>
          <w:szCs w:val="22"/>
        </w:rPr>
        <w:t>he parties shall not make any public announcement or issue a press release or respond to any enquiry from the press or other media that concerns or relates to this agreement or its subject matter (including, but not limited to, the Investor's investment in the Company) or any ancillary matter.</w:t>
      </w:r>
      <w:bookmarkEnd w:id="87"/>
    </w:p>
    <w:p w14:paraId="3446AD70" w14:textId="77777777" w:rsidR="00DC6D61" w:rsidRPr="00DC6D61" w:rsidRDefault="00DC6D61" w:rsidP="00DC6D61">
      <w:pPr>
        <w:pStyle w:val="TitleClause"/>
        <w:rPr>
          <w:szCs w:val="22"/>
        </w:rPr>
      </w:pPr>
      <w:r w:rsidRPr="00DC6D61">
        <w:rPr>
          <w:szCs w:val="22"/>
        </w:rPr>
        <w:fldChar w:fldCharType="begin"/>
      </w:r>
      <w:r w:rsidRPr="00DC6D61">
        <w:rPr>
          <w:szCs w:val="22"/>
        </w:rPr>
        <w:instrText>TC "17. Assignment and other dealings" \l 1</w:instrText>
      </w:r>
      <w:r w:rsidRPr="00DC6D61">
        <w:rPr>
          <w:szCs w:val="22"/>
        </w:rPr>
        <w:fldChar w:fldCharType="end"/>
      </w:r>
      <w:bookmarkStart w:id="88" w:name="a773178"/>
      <w:bookmarkStart w:id="89" w:name="_Toc256000016"/>
      <w:r w:rsidRPr="00DC6D61">
        <w:rPr>
          <w:szCs w:val="22"/>
        </w:rPr>
        <w:t>Assignment and other dealings</w:t>
      </w:r>
      <w:bookmarkEnd w:id="88"/>
      <w:bookmarkEnd w:id="89"/>
    </w:p>
    <w:p w14:paraId="16786367" w14:textId="77777777" w:rsidR="00DC6D61" w:rsidRPr="00DC6D61" w:rsidRDefault="008152CA" w:rsidP="00DC6D61">
      <w:pPr>
        <w:pStyle w:val="Untitledsubclause1"/>
        <w:rPr>
          <w:szCs w:val="22"/>
        </w:rPr>
      </w:pPr>
      <w:bookmarkStart w:id="90" w:name="a666714"/>
      <w:r>
        <w:rPr>
          <w:szCs w:val="22"/>
        </w:rPr>
        <w:t>N</w:t>
      </w:r>
      <w:r w:rsidR="00DC6D61" w:rsidRPr="00DC6D61">
        <w:rPr>
          <w:szCs w:val="22"/>
        </w:rPr>
        <w:t xml:space="preserve">o party shall assign, transfer, mortgage, charge, declare a trust of, or deal in any other manner with any or </w:t>
      </w:r>
      <w:proofErr w:type="gramStart"/>
      <w:r w:rsidR="00DC6D61" w:rsidRPr="00DC6D61">
        <w:rPr>
          <w:szCs w:val="22"/>
        </w:rPr>
        <w:t>all of</w:t>
      </w:r>
      <w:proofErr w:type="gramEnd"/>
      <w:r w:rsidR="00DC6D61" w:rsidRPr="00DC6D61">
        <w:rPr>
          <w:szCs w:val="22"/>
        </w:rPr>
        <w:t xml:space="preserve"> its rights and obligations under this agreement</w:t>
      </w:r>
      <w:bookmarkEnd w:id="90"/>
      <w:r w:rsidR="004539EC">
        <w:rPr>
          <w:szCs w:val="22"/>
        </w:rPr>
        <w:t xml:space="preserve"> without first obtaining written consent from the other party</w:t>
      </w:r>
      <w:r>
        <w:rPr>
          <w:szCs w:val="22"/>
        </w:rPr>
        <w:t>.</w:t>
      </w:r>
    </w:p>
    <w:p w14:paraId="238A255C" w14:textId="77777777" w:rsidR="00DC6D61" w:rsidRPr="00DC6D61" w:rsidRDefault="00DC6D61" w:rsidP="00DC6D61">
      <w:pPr>
        <w:pStyle w:val="TitleClause"/>
        <w:rPr>
          <w:szCs w:val="22"/>
        </w:rPr>
      </w:pPr>
      <w:r w:rsidRPr="00DC6D61">
        <w:rPr>
          <w:szCs w:val="22"/>
        </w:rPr>
        <w:fldChar w:fldCharType="begin"/>
      </w:r>
      <w:r w:rsidRPr="00DC6D61">
        <w:rPr>
          <w:szCs w:val="22"/>
        </w:rPr>
        <w:instrText>TC "18. Third party rights" \l 1</w:instrText>
      </w:r>
      <w:r w:rsidRPr="00DC6D61">
        <w:rPr>
          <w:szCs w:val="22"/>
        </w:rPr>
        <w:fldChar w:fldCharType="end"/>
      </w:r>
      <w:bookmarkStart w:id="91" w:name="a986742"/>
      <w:bookmarkStart w:id="92" w:name="_Toc256000017"/>
      <w:r w:rsidRPr="00DC6D61">
        <w:rPr>
          <w:szCs w:val="22"/>
        </w:rPr>
        <w:t>Third party rights</w:t>
      </w:r>
      <w:bookmarkEnd w:id="91"/>
      <w:bookmarkEnd w:id="92"/>
    </w:p>
    <w:p w14:paraId="05C80415" w14:textId="77777777" w:rsidR="00DC6D61" w:rsidRPr="00DC6D61" w:rsidRDefault="008152CA" w:rsidP="00DC6D61">
      <w:pPr>
        <w:pStyle w:val="Untitledsubclause1"/>
        <w:rPr>
          <w:szCs w:val="22"/>
        </w:rPr>
      </w:pPr>
      <w:bookmarkStart w:id="93" w:name="a387794"/>
      <w:r>
        <w:rPr>
          <w:szCs w:val="22"/>
        </w:rPr>
        <w:t>This</w:t>
      </w:r>
      <w:r w:rsidR="00DC6D61" w:rsidRPr="00DC6D61">
        <w:rPr>
          <w:szCs w:val="22"/>
        </w:rPr>
        <w:t xml:space="preserve"> agreement does not give rise to any rights under the Contracts (Rights of Third Parties) Act 1999 to enforce any term of this agreement.</w:t>
      </w:r>
      <w:bookmarkEnd w:id="93"/>
    </w:p>
    <w:p w14:paraId="65513BF2" w14:textId="77777777" w:rsidR="00DC6D61" w:rsidRPr="00DC6D61" w:rsidRDefault="00DC6D61" w:rsidP="00DC6D61">
      <w:pPr>
        <w:pStyle w:val="TitleClause"/>
        <w:rPr>
          <w:szCs w:val="22"/>
        </w:rPr>
      </w:pPr>
      <w:r w:rsidRPr="00DC6D61">
        <w:rPr>
          <w:szCs w:val="22"/>
        </w:rPr>
        <w:lastRenderedPageBreak/>
        <w:fldChar w:fldCharType="begin"/>
      </w:r>
      <w:r w:rsidRPr="00DC6D61">
        <w:rPr>
          <w:szCs w:val="22"/>
        </w:rPr>
        <w:instrText>TC "19. Agreement survives completion" \l 1</w:instrText>
      </w:r>
      <w:r w:rsidRPr="00DC6D61">
        <w:rPr>
          <w:szCs w:val="22"/>
        </w:rPr>
        <w:fldChar w:fldCharType="end"/>
      </w:r>
      <w:bookmarkStart w:id="94" w:name="a823417"/>
      <w:bookmarkStart w:id="95" w:name="_Toc256000018"/>
      <w:r w:rsidRPr="00DC6D61">
        <w:rPr>
          <w:szCs w:val="22"/>
        </w:rPr>
        <w:t>Agreement survives completion</w:t>
      </w:r>
      <w:bookmarkEnd w:id="94"/>
      <w:bookmarkEnd w:id="95"/>
    </w:p>
    <w:p w14:paraId="78759418" w14:textId="77777777" w:rsidR="00DC6D61" w:rsidRPr="00DC6D61" w:rsidRDefault="00DC6D61" w:rsidP="00DC6D61">
      <w:pPr>
        <w:pStyle w:val="NoNumUntitledsubclause1"/>
        <w:rPr>
          <w:szCs w:val="22"/>
        </w:rPr>
      </w:pPr>
      <w:bookmarkStart w:id="96" w:name="a452966"/>
      <w:r w:rsidRPr="00DC6D61">
        <w:rPr>
          <w:szCs w:val="22"/>
        </w:rPr>
        <w:t>This agreement (other than obligations that have already been fully performed) remains in full force after Completion.</w:t>
      </w:r>
      <w:bookmarkEnd w:id="96"/>
    </w:p>
    <w:p w14:paraId="51BF4D1C" w14:textId="77777777" w:rsidR="00DC6D61" w:rsidRPr="00DC6D61" w:rsidRDefault="00DC6D61" w:rsidP="00DC6D61">
      <w:pPr>
        <w:pStyle w:val="TitleClause"/>
        <w:rPr>
          <w:szCs w:val="22"/>
        </w:rPr>
      </w:pPr>
      <w:r w:rsidRPr="00DC6D61">
        <w:rPr>
          <w:szCs w:val="22"/>
        </w:rPr>
        <w:fldChar w:fldCharType="begin"/>
      </w:r>
      <w:r w:rsidRPr="00DC6D61">
        <w:rPr>
          <w:szCs w:val="22"/>
        </w:rPr>
        <w:instrText>TC "21. Severance" \l 1</w:instrText>
      </w:r>
      <w:r w:rsidRPr="00DC6D61">
        <w:rPr>
          <w:szCs w:val="22"/>
        </w:rPr>
        <w:fldChar w:fldCharType="end"/>
      </w:r>
      <w:bookmarkStart w:id="97" w:name="a140023"/>
      <w:bookmarkStart w:id="98" w:name="_Toc256000020"/>
      <w:r w:rsidRPr="00DC6D61">
        <w:rPr>
          <w:szCs w:val="22"/>
        </w:rPr>
        <w:t>Severance</w:t>
      </w:r>
      <w:bookmarkEnd w:id="97"/>
      <w:bookmarkEnd w:id="98"/>
    </w:p>
    <w:p w14:paraId="32FE16B2" w14:textId="77777777" w:rsidR="00DC6D61" w:rsidRPr="00DC6D61" w:rsidRDefault="00DC6D61" w:rsidP="00DC6D61">
      <w:pPr>
        <w:pStyle w:val="NoNumUntitledsubclause1"/>
        <w:rPr>
          <w:szCs w:val="22"/>
        </w:rPr>
      </w:pPr>
      <w:bookmarkStart w:id="99" w:name="a937917"/>
      <w:r w:rsidRPr="00DC6D61">
        <w:rPr>
          <w:szCs w:val="22"/>
        </w:rPr>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bookmarkEnd w:id="99"/>
    </w:p>
    <w:p w14:paraId="58B9773D" w14:textId="77777777" w:rsidR="00DC6D61" w:rsidRPr="00DC6D61" w:rsidRDefault="00DC6D61" w:rsidP="00DC6D61">
      <w:pPr>
        <w:pStyle w:val="TitleClause"/>
        <w:rPr>
          <w:szCs w:val="22"/>
        </w:rPr>
      </w:pPr>
      <w:r w:rsidRPr="00DC6D61">
        <w:rPr>
          <w:szCs w:val="22"/>
        </w:rPr>
        <w:fldChar w:fldCharType="begin"/>
      </w:r>
      <w:r w:rsidRPr="00DC6D61">
        <w:rPr>
          <w:szCs w:val="22"/>
        </w:rPr>
        <w:instrText>TC "22. Variation and waiver" \l 1</w:instrText>
      </w:r>
      <w:r w:rsidRPr="00DC6D61">
        <w:rPr>
          <w:szCs w:val="22"/>
        </w:rPr>
        <w:fldChar w:fldCharType="end"/>
      </w:r>
      <w:bookmarkStart w:id="100" w:name="a256984"/>
      <w:bookmarkStart w:id="101" w:name="_Toc256000021"/>
      <w:r w:rsidRPr="00DC6D61">
        <w:rPr>
          <w:szCs w:val="22"/>
        </w:rPr>
        <w:t>Variation and waiver</w:t>
      </w:r>
      <w:bookmarkEnd w:id="100"/>
      <w:bookmarkEnd w:id="101"/>
    </w:p>
    <w:p w14:paraId="5E20516D" w14:textId="77777777" w:rsidR="00DC6D61" w:rsidRPr="00DC6D61" w:rsidRDefault="00DC6D61" w:rsidP="00DC6D61">
      <w:pPr>
        <w:pStyle w:val="Untitledsubclause1"/>
        <w:rPr>
          <w:szCs w:val="22"/>
        </w:rPr>
      </w:pPr>
      <w:bookmarkStart w:id="102" w:name="a414685"/>
      <w:r w:rsidRPr="00DC6D61">
        <w:rPr>
          <w:szCs w:val="22"/>
        </w:rPr>
        <w:t xml:space="preserve">No variation of this agreement shall be effective unless </w:t>
      </w:r>
      <w:r w:rsidR="008152CA">
        <w:rPr>
          <w:szCs w:val="22"/>
        </w:rPr>
        <w:t xml:space="preserve">it is in writing and signed by </w:t>
      </w:r>
      <w:r w:rsidRPr="00DC6D61">
        <w:rPr>
          <w:szCs w:val="22"/>
        </w:rPr>
        <w:t xml:space="preserve">the parties (or their authorised representatives), in which event such change shall be binding against all of the parties to this agreement, provided that if such change would impose any new obligations </w:t>
      </w:r>
      <w:r w:rsidR="008152CA">
        <w:rPr>
          <w:szCs w:val="22"/>
        </w:rPr>
        <w:t>on a party,</w:t>
      </w:r>
      <w:r w:rsidRPr="00DC6D61">
        <w:rPr>
          <w:szCs w:val="22"/>
        </w:rPr>
        <w:t xml:space="preserve"> or increase any existing obligation, the consent of the affected party</w:t>
      </w:r>
      <w:r w:rsidR="008152CA">
        <w:rPr>
          <w:szCs w:val="22"/>
        </w:rPr>
        <w:t xml:space="preserve"> shall be specifically required</w:t>
      </w:r>
      <w:r w:rsidRPr="00DC6D61">
        <w:rPr>
          <w:szCs w:val="22"/>
        </w:rPr>
        <w:t>.</w:t>
      </w:r>
      <w:bookmarkEnd w:id="102"/>
    </w:p>
    <w:p w14:paraId="18E09C84" w14:textId="77777777" w:rsidR="00DC6D61" w:rsidRPr="00DC6D61" w:rsidRDefault="00DC6D61" w:rsidP="00DC6D61">
      <w:pPr>
        <w:pStyle w:val="Untitledsubclause1"/>
        <w:rPr>
          <w:szCs w:val="22"/>
        </w:rPr>
      </w:pPr>
      <w:bookmarkStart w:id="103" w:name="a976147"/>
      <w:r w:rsidRPr="00DC6D61">
        <w:rPr>
          <w:szCs w:val="22"/>
        </w:rPr>
        <w:t>A waiver of any right or remedy under this agreement or by law is only effective if given in writing and signed by the person waiving such right or remedy. Any such waiver shall apply only to the circumstances for which it is given and shall not be deemed a waiver of any subsequent breach or default.</w:t>
      </w:r>
      <w:bookmarkEnd w:id="103"/>
    </w:p>
    <w:p w14:paraId="7BE1263A" w14:textId="77777777" w:rsidR="00DC6D61" w:rsidRPr="00DC6D61" w:rsidRDefault="00DC6D61" w:rsidP="00DC6D61">
      <w:pPr>
        <w:pStyle w:val="Untitledsubclause1"/>
        <w:rPr>
          <w:szCs w:val="22"/>
        </w:rPr>
      </w:pPr>
      <w:bookmarkStart w:id="104" w:name="a901948"/>
      <w:r w:rsidRPr="00DC6D61">
        <w:rPr>
          <w:szCs w:val="22"/>
        </w:rPr>
        <w:t>A failure or delay by a party to exercise any right or remedy provided under this agreement or by law shall not constitute a waiver of that or any other right or remedy, nor shall it prevent or restrict any further exercise of that or any other right or remedy. No single or partial exercise of such right or remedy provided under this agreement or by law shall prevent or restrict the further exercise of that or any other right or remedy.</w:t>
      </w:r>
      <w:bookmarkEnd w:id="104"/>
    </w:p>
    <w:p w14:paraId="07847AB5" w14:textId="77777777" w:rsidR="00DC6D61" w:rsidRPr="00DC6D61" w:rsidRDefault="00DC6D61" w:rsidP="00DC6D61">
      <w:pPr>
        <w:pStyle w:val="Untitledsubclause1"/>
        <w:rPr>
          <w:szCs w:val="22"/>
        </w:rPr>
      </w:pPr>
      <w:bookmarkStart w:id="105" w:name="a751722"/>
      <w:r w:rsidRPr="00DC6D61">
        <w:rPr>
          <w:szCs w:val="22"/>
        </w:rPr>
        <w:t xml:space="preserve">A person that waives a right or remedy provided under this agreement or by law in relation to one </w:t>
      </w:r>
      <w:proofErr w:type="gramStart"/>
      <w:r w:rsidRPr="00DC6D61">
        <w:rPr>
          <w:szCs w:val="22"/>
        </w:rPr>
        <w:t>person, or</w:t>
      </w:r>
      <w:proofErr w:type="gramEnd"/>
      <w:r w:rsidRPr="00DC6D61">
        <w:rPr>
          <w:szCs w:val="22"/>
        </w:rPr>
        <w:t xml:space="preserve"> takes or fails to take any action against that person, does not affect its rights or remedies in relation to any other person.</w:t>
      </w:r>
      <w:bookmarkEnd w:id="105"/>
    </w:p>
    <w:p w14:paraId="00641A25" w14:textId="77777777" w:rsidR="00DC6D61" w:rsidRPr="00DC6D61" w:rsidRDefault="00DC6D61" w:rsidP="00DC6D61">
      <w:pPr>
        <w:pStyle w:val="TitleClause"/>
        <w:rPr>
          <w:szCs w:val="22"/>
        </w:rPr>
      </w:pPr>
      <w:r w:rsidRPr="00DC6D61">
        <w:rPr>
          <w:szCs w:val="22"/>
        </w:rPr>
        <w:fldChar w:fldCharType="begin"/>
      </w:r>
      <w:r w:rsidRPr="00DC6D61">
        <w:rPr>
          <w:szCs w:val="22"/>
        </w:rPr>
        <w:instrText>TC "23. Costs" \l 1</w:instrText>
      </w:r>
      <w:r w:rsidRPr="00DC6D61">
        <w:rPr>
          <w:szCs w:val="22"/>
        </w:rPr>
        <w:fldChar w:fldCharType="end"/>
      </w:r>
      <w:bookmarkStart w:id="106" w:name="a941668"/>
      <w:bookmarkStart w:id="107" w:name="_Toc256000022"/>
      <w:r w:rsidRPr="00DC6D61">
        <w:rPr>
          <w:szCs w:val="22"/>
        </w:rPr>
        <w:t>Costs</w:t>
      </w:r>
      <w:bookmarkEnd w:id="106"/>
      <w:bookmarkEnd w:id="107"/>
    </w:p>
    <w:p w14:paraId="1B4BAD40" w14:textId="77777777" w:rsidR="00DC6D61" w:rsidRPr="00DC6D61" w:rsidRDefault="008152CA" w:rsidP="00DC6D61">
      <w:pPr>
        <w:pStyle w:val="Untitledsubclause1"/>
        <w:rPr>
          <w:szCs w:val="22"/>
        </w:rPr>
      </w:pPr>
      <w:bookmarkStart w:id="108" w:name="a363269"/>
      <w:r>
        <w:rPr>
          <w:szCs w:val="22"/>
        </w:rPr>
        <w:t>E</w:t>
      </w:r>
      <w:r w:rsidR="00DC6D61" w:rsidRPr="00DC6D61">
        <w:rPr>
          <w:szCs w:val="22"/>
        </w:rPr>
        <w:t>xcept as expressly provided in this agreement, each party shall pay its own costs incurred in connection with the negotiation, preparation, execution and performance of this agreement (and any documents referred to in it).</w:t>
      </w:r>
      <w:bookmarkEnd w:id="108"/>
    </w:p>
    <w:p w14:paraId="41421F62" w14:textId="77777777" w:rsidR="00DC6D61" w:rsidRPr="00DC6D61" w:rsidRDefault="00DC6D61" w:rsidP="00DC6D61">
      <w:pPr>
        <w:pStyle w:val="TitleClause"/>
        <w:rPr>
          <w:szCs w:val="22"/>
        </w:rPr>
      </w:pPr>
      <w:r w:rsidRPr="00DC6D61">
        <w:rPr>
          <w:szCs w:val="22"/>
        </w:rPr>
        <w:lastRenderedPageBreak/>
        <w:fldChar w:fldCharType="begin"/>
      </w:r>
      <w:r w:rsidRPr="00DC6D61">
        <w:rPr>
          <w:szCs w:val="22"/>
        </w:rPr>
        <w:instrText>TC "24. Entire agreement" \l 1</w:instrText>
      </w:r>
      <w:r w:rsidRPr="00DC6D61">
        <w:rPr>
          <w:szCs w:val="22"/>
        </w:rPr>
        <w:fldChar w:fldCharType="end"/>
      </w:r>
      <w:bookmarkStart w:id="109" w:name="a543037"/>
      <w:bookmarkStart w:id="110" w:name="_Toc256000023"/>
      <w:r w:rsidRPr="00DC6D61">
        <w:rPr>
          <w:szCs w:val="22"/>
        </w:rPr>
        <w:t>Entire agreement</w:t>
      </w:r>
      <w:bookmarkEnd w:id="109"/>
      <w:bookmarkEnd w:id="110"/>
    </w:p>
    <w:p w14:paraId="20BABE22" w14:textId="77777777" w:rsidR="00DC6D61" w:rsidRPr="00DC6D61" w:rsidRDefault="008152CA" w:rsidP="00DC6D61">
      <w:pPr>
        <w:pStyle w:val="Untitledsubclause1"/>
        <w:rPr>
          <w:szCs w:val="22"/>
        </w:rPr>
      </w:pPr>
      <w:bookmarkStart w:id="111" w:name="a707951"/>
      <w:r>
        <w:rPr>
          <w:szCs w:val="22"/>
        </w:rPr>
        <w:t xml:space="preserve">This agreement </w:t>
      </w:r>
      <w:r w:rsidR="00DC6D61" w:rsidRPr="00DC6D61">
        <w:rPr>
          <w:szCs w:val="22"/>
        </w:rPr>
        <w:t>(together with t</w:t>
      </w:r>
      <w:r>
        <w:rPr>
          <w:szCs w:val="22"/>
        </w:rPr>
        <w:t>he documents referred to in it)</w:t>
      </w:r>
      <w:r w:rsidR="00DC6D61" w:rsidRPr="00DC6D61">
        <w:rPr>
          <w:szCs w:val="22"/>
        </w:rPr>
        <w:t>, constitutes the entire agreement between the parties and supersedes and extinguishes all previous discussions, correspondence, negotiations, drafts, agreements, promises, assurances, warranties, representations, arrangements and understandings between them, whethe</w:t>
      </w:r>
      <w:r>
        <w:rPr>
          <w:szCs w:val="22"/>
        </w:rPr>
        <w:t>r written or oral, relating to their</w:t>
      </w:r>
      <w:r w:rsidR="00DC6D61" w:rsidRPr="00DC6D61">
        <w:rPr>
          <w:szCs w:val="22"/>
        </w:rPr>
        <w:t xml:space="preserve"> subject matter. </w:t>
      </w:r>
      <w:bookmarkEnd w:id="111"/>
    </w:p>
    <w:p w14:paraId="371CD56D" w14:textId="77777777" w:rsidR="00DC6D61" w:rsidRPr="00DC6D61" w:rsidRDefault="00DC6D61" w:rsidP="00DC6D61">
      <w:pPr>
        <w:pStyle w:val="Untitledsubclause1"/>
        <w:rPr>
          <w:szCs w:val="22"/>
        </w:rPr>
      </w:pPr>
      <w:bookmarkStart w:id="112" w:name="a644280"/>
      <w:r w:rsidRPr="00DC6D61">
        <w:rPr>
          <w:szCs w:val="22"/>
        </w:rPr>
        <w:t>Each party acknowledges that i</w:t>
      </w:r>
      <w:r w:rsidR="008152CA">
        <w:rPr>
          <w:szCs w:val="22"/>
        </w:rPr>
        <w:t xml:space="preserve">n entering into this agreement </w:t>
      </w:r>
      <w:r w:rsidRPr="00DC6D61">
        <w:rPr>
          <w:szCs w:val="22"/>
        </w:rPr>
        <w:t>and any documents referred to in it], it does not rely on, and shall have no remedies in respect of, any statement, representation, assurance or warranty (whether made innocently or negligently) that is</w:t>
      </w:r>
      <w:r w:rsidR="008152CA">
        <w:rPr>
          <w:szCs w:val="22"/>
        </w:rPr>
        <w:t xml:space="preserve"> not set out in this agreement or those documents</w:t>
      </w:r>
      <w:r w:rsidRPr="00DC6D61">
        <w:rPr>
          <w:szCs w:val="22"/>
        </w:rPr>
        <w:t>.</w:t>
      </w:r>
      <w:bookmarkEnd w:id="112"/>
    </w:p>
    <w:p w14:paraId="68347D7A" w14:textId="77777777" w:rsidR="00DC6D61" w:rsidRPr="00DC6D61" w:rsidRDefault="00DC6D61" w:rsidP="00DC6D61">
      <w:pPr>
        <w:pStyle w:val="Untitledsubclause1"/>
        <w:rPr>
          <w:szCs w:val="22"/>
        </w:rPr>
      </w:pPr>
      <w:r w:rsidRPr="00DC6D61">
        <w:rPr>
          <w:szCs w:val="22"/>
        </w:rPr>
        <w:fldChar w:fldCharType="begin"/>
      </w:r>
      <w:r w:rsidRPr="00DC6D61">
        <w:rPr>
          <w:szCs w:val="22"/>
        </w:rPr>
        <w:fldChar w:fldCharType="end"/>
      </w:r>
      <w:bookmarkStart w:id="113" w:name="a498782"/>
      <w:r w:rsidRPr="00DC6D61">
        <w:rPr>
          <w:szCs w:val="22"/>
        </w:rPr>
        <w:t xml:space="preserve">Nothing in this clause </w:t>
      </w:r>
      <w:r w:rsidR="004539EC">
        <w:rPr>
          <w:szCs w:val="22"/>
        </w:rPr>
        <w:t>6</w:t>
      </w:r>
      <w:r w:rsidR="004539EC" w:rsidRPr="00DC6D61">
        <w:rPr>
          <w:szCs w:val="22"/>
        </w:rPr>
        <w:t xml:space="preserve"> </w:t>
      </w:r>
      <w:r w:rsidRPr="00DC6D61">
        <w:rPr>
          <w:szCs w:val="22"/>
        </w:rPr>
        <w:t>shall limit or exclude any liability for fraud.</w:t>
      </w:r>
      <w:bookmarkEnd w:id="113"/>
    </w:p>
    <w:p w14:paraId="40BEAB14" w14:textId="77777777" w:rsidR="00DC6D61" w:rsidRPr="00DC6D61" w:rsidRDefault="00DC6D61" w:rsidP="00DC6D61">
      <w:pPr>
        <w:pStyle w:val="TitleClause"/>
        <w:rPr>
          <w:szCs w:val="22"/>
        </w:rPr>
      </w:pPr>
      <w:r w:rsidRPr="00DC6D61">
        <w:rPr>
          <w:szCs w:val="22"/>
        </w:rPr>
        <w:fldChar w:fldCharType="begin"/>
      </w:r>
      <w:r w:rsidRPr="00DC6D61">
        <w:rPr>
          <w:szCs w:val="22"/>
        </w:rPr>
        <w:instrText>TC "25. Notices" \l 1</w:instrText>
      </w:r>
      <w:r w:rsidRPr="00DC6D61">
        <w:rPr>
          <w:szCs w:val="22"/>
        </w:rPr>
        <w:fldChar w:fldCharType="end"/>
      </w:r>
      <w:bookmarkStart w:id="114" w:name="a811689"/>
      <w:bookmarkStart w:id="115" w:name="_Toc256000024"/>
      <w:r w:rsidRPr="00DC6D61">
        <w:rPr>
          <w:szCs w:val="22"/>
        </w:rPr>
        <w:t>Notices</w:t>
      </w:r>
      <w:bookmarkEnd w:id="114"/>
      <w:bookmarkEnd w:id="115"/>
    </w:p>
    <w:p w14:paraId="6DB5FE79" w14:textId="77777777" w:rsidR="00DC6D61" w:rsidRPr="00DC6D61" w:rsidRDefault="00DC6D61" w:rsidP="00DC6D61">
      <w:pPr>
        <w:pStyle w:val="Untitledsubclause1"/>
        <w:rPr>
          <w:szCs w:val="22"/>
        </w:rPr>
      </w:pPr>
      <w:bookmarkStart w:id="116" w:name="a943371"/>
      <w:r w:rsidRPr="00DC6D61">
        <w:rPr>
          <w:szCs w:val="22"/>
        </w:rPr>
        <w:t xml:space="preserve">For the purposes of this clause, but subject to clause </w:t>
      </w:r>
      <w:r w:rsidR="00AE1B59">
        <w:rPr>
          <w:szCs w:val="22"/>
        </w:rPr>
        <w:t>17.7</w:t>
      </w:r>
      <w:r w:rsidRPr="00DC6D61">
        <w:rPr>
          <w:szCs w:val="22"/>
        </w:rPr>
        <w:t>, notice includes any other communication.</w:t>
      </w:r>
      <w:r w:rsidRPr="00DC6D61">
        <w:rPr>
          <w:szCs w:val="22"/>
        </w:rPr>
        <w:fldChar w:fldCharType="begin"/>
      </w:r>
      <w:r w:rsidRPr="00DC6D61">
        <w:rPr>
          <w:szCs w:val="22"/>
        </w:rPr>
        <w:fldChar w:fldCharType="end"/>
      </w:r>
      <w:bookmarkEnd w:id="116"/>
    </w:p>
    <w:p w14:paraId="79F04A7C" w14:textId="77777777" w:rsidR="00DC6D61" w:rsidRPr="00DC6D61" w:rsidRDefault="00DC6D61" w:rsidP="00DC6D61">
      <w:pPr>
        <w:pStyle w:val="Untitledsubclause1"/>
        <w:rPr>
          <w:szCs w:val="22"/>
        </w:rPr>
      </w:pPr>
      <w:bookmarkStart w:id="117" w:name="a285049"/>
      <w:r w:rsidRPr="00DC6D61">
        <w:rPr>
          <w:szCs w:val="22"/>
        </w:rPr>
        <w:t>A notice given to a party under or in connection with this agreement:</w:t>
      </w:r>
      <w:bookmarkEnd w:id="117"/>
    </w:p>
    <w:p w14:paraId="126671DC" w14:textId="77777777" w:rsidR="00DC6D61" w:rsidRPr="00DC6D61" w:rsidRDefault="008152CA" w:rsidP="00DC6D61">
      <w:pPr>
        <w:pStyle w:val="Untitledsubclause2"/>
        <w:spacing w:before="60"/>
        <w:rPr>
          <w:szCs w:val="22"/>
        </w:rPr>
      </w:pPr>
      <w:bookmarkStart w:id="118" w:name="a954590"/>
      <w:r>
        <w:rPr>
          <w:szCs w:val="22"/>
        </w:rPr>
        <w:t xml:space="preserve">shall be in writing </w:t>
      </w:r>
      <w:r w:rsidR="00DC6D61" w:rsidRPr="00DC6D61">
        <w:rPr>
          <w:szCs w:val="22"/>
        </w:rPr>
        <w:t>and in English</w:t>
      </w:r>
      <w:bookmarkEnd w:id="118"/>
      <w:r>
        <w:rPr>
          <w:szCs w:val="22"/>
        </w:rPr>
        <w:t>;</w:t>
      </w:r>
    </w:p>
    <w:p w14:paraId="7F2AAD4E" w14:textId="77777777" w:rsidR="00DC6D61" w:rsidRPr="00DC6D61" w:rsidRDefault="00DC6D61" w:rsidP="00DC6D61">
      <w:pPr>
        <w:pStyle w:val="Untitledsubclause2"/>
        <w:spacing w:before="60"/>
        <w:rPr>
          <w:szCs w:val="22"/>
        </w:rPr>
      </w:pPr>
      <w:bookmarkStart w:id="119" w:name="a822010"/>
      <w:r w:rsidRPr="00DC6D61">
        <w:rPr>
          <w:szCs w:val="22"/>
        </w:rPr>
        <w:t>shall be signed by or behalf of the party giving it;</w:t>
      </w:r>
      <w:bookmarkEnd w:id="119"/>
    </w:p>
    <w:p w14:paraId="234785DE" w14:textId="77777777" w:rsidR="00DC6D61" w:rsidRPr="00DC6D61" w:rsidRDefault="00DC6D61" w:rsidP="00DC6D61">
      <w:pPr>
        <w:pStyle w:val="Untitledsubclause2"/>
        <w:spacing w:before="60"/>
        <w:rPr>
          <w:szCs w:val="22"/>
        </w:rPr>
      </w:pPr>
      <w:bookmarkStart w:id="120" w:name="a891012"/>
      <w:r w:rsidRPr="00DC6D61">
        <w:rPr>
          <w:szCs w:val="22"/>
        </w:rPr>
        <w:t xml:space="preserve">shall be sent to the relevant party for the attention of </w:t>
      </w:r>
      <w:r w:rsidR="008152CA">
        <w:rPr>
          <w:szCs w:val="22"/>
        </w:rPr>
        <w:t>the contact and to the address</w:t>
      </w:r>
      <w:r w:rsidRPr="00DC6D61">
        <w:rPr>
          <w:szCs w:val="22"/>
        </w:rPr>
        <w:t xml:space="preserve"> specified in clause </w:t>
      </w:r>
      <w:r w:rsidRPr="00AE1B59">
        <w:rPr>
          <w:szCs w:val="22"/>
        </w:rPr>
        <w:fldChar w:fldCharType="begin"/>
      </w:r>
      <w:r w:rsidRPr="00AE1B59">
        <w:rPr>
          <w:szCs w:val="22"/>
        </w:rPr>
        <w:instrText>REF a701443 \h \w \n</w:instrText>
      </w:r>
      <w:r w:rsidR="007D20B8" w:rsidRPr="00AE1B59">
        <w:rPr>
          <w:szCs w:val="22"/>
        </w:rPr>
        <w:instrText xml:space="preserve"> \* MERGEFORMAT </w:instrText>
      </w:r>
      <w:r w:rsidRPr="00AE1B59">
        <w:rPr>
          <w:szCs w:val="22"/>
        </w:rPr>
      </w:r>
      <w:r w:rsidRPr="00AE1B59">
        <w:rPr>
          <w:szCs w:val="22"/>
        </w:rPr>
        <w:fldChar w:fldCharType="separate"/>
      </w:r>
      <w:r w:rsidR="00AE1B59" w:rsidRPr="00AE1B59">
        <w:rPr>
          <w:szCs w:val="22"/>
        </w:rPr>
        <w:t>17</w:t>
      </w:r>
      <w:r w:rsidR="002B65AC" w:rsidRPr="00AE1B59">
        <w:rPr>
          <w:szCs w:val="22"/>
        </w:rPr>
        <w:t>.3</w:t>
      </w:r>
      <w:r w:rsidRPr="00AE1B59">
        <w:rPr>
          <w:szCs w:val="22"/>
        </w:rPr>
        <w:fldChar w:fldCharType="end"/>
      </w:r>
      <w:r w:rsidR="008152CA">
        <w:rPr>
          <w:szCs w:val="22"/>
        </w:rPr>
        <w:t>, or such other address</w:t>
      </w:r>
      <w:r w:rsidRPr="00DC6D61">
        <w:rPr>
          <w:szCs w:val="22"/>
        </w:rPr>
        <w:t xml:space="preserve"> or contact as that party may notify to the other in accordance with the provisions of this clause </w:t>
      </w:r>
      <w:r w:rsidRPr="00AE1B59">
        <w:rPr>
          <w:szCs w:val="22"/>
        </w:rPr>
        <w:fldChar w:fldCharType="begin"/>
      </w:r>
      <w:r w:rsidRPr="00AE1B59">
        <w:rPr>
          <w:szCs w:val="22"/>
        </w:rPr>
        <w:instrText>REF a811689 \h \w \n</w:instrText>
      </w:r>
      <w:r w:rsidR="007D20B8" w:rsidRPr="00AE1B59">
        <w:rPr>
          <w:szCs w:val="22"/>
        </w:rPr>
        <w:instrText xml:space="preserve"> \* MERGEFORMAT </w:instrText>
      </w:r>
      <w:r w:rsidRPr="00AE1B59">
        <w:rPr>
          <w:szCs w:val="22"/>
        </w:rPr>
      </w:r>
      <w:r w:rsidRPr="00AE1B59">
        <w:rPr>
          <w:szCs w:val="22"/>
        </w:rPr>
        <w:fldChar w:fldCharType="separate"/>
      </w:r>
      <w:r w:rsidR="002B65AC" w:rsidRPr="00AE1B59">
        <w:rPr>
          <w:szCs w:val="22"/>
        </w:rPr>
        <w:t>1</w:t>
      </w:r>
      <w:r w:rsidR="00AE1B59">
        <w:rPr>
          <w:szCs w:val="22"/>
        </w:rPr>
        <w:t>7</w:t>
      </w:r>
      <w:r w:rsidRPr="00AE1B59">
        <w:rPr>
          <w:szCs w:val="22"/>
        </w:rPr>
        <w:fldChar w:fldCharType="end"/>
      </w:r>
      <w:r w:rsidRPr="00DC6D61">
        <w:rPr>
          <w:szCs w:val="22"/>
        </w:rPr>
        <w:t>;</w:t>
      </w:r>
      <w:bookmarkEnd w:id="120"/>
    </w:p>
    <w:p w14:paraId="09E76B4C" w14:textId="77777777" w:rsidR="00DC6D61" w:rsidRPr="00DC6D61" w:rsidRDefault="00DC6D61" w:rsidP="00DC6D61">
      <w:pPr>
        <w:pStyle w:val="Untitledsubclause2"/>
        <w:spacing w:before="60"/>
        <w:rPr>
          <w:szCs w:val="22"/>
        </w:rPr>
      </w:pPr>
      <w:bookmarkStart w:id="121" w:name="a616193"/>
      <w:r w:rsidRPr="00DC6D61">
        <w:rPr>
          <w:szCs w:val="22"/>
        </w:rPr>
        <w:t>shall be:</w:t>
      </w:r>
      <w:bookmarkEnd w:id="121"/>
    </w:p>
    <w:p w14:paraId="0E0BE754" w14:textId="77777777" w:rsidR="00DC6D61" w:rsidRPr="00DC6D61" w:rsidRDefault="008152CA" w:rsidP="00DC6D61">
      <w:pPr>
        <w:pStyle w:val="Untitledsubclause3"/>
        <w:spacing w:before="60"/>
        <w:rPr>
          <w:szCs w:val="22"/>
        </w:rPr>
      </w:pPr>
      <w:bookmarkStart w:id="122" w:name="a352029"/>
      <w:r>
        <w:rPr>
          <w:szCs w:val="22"/>
        </w:rPr>
        <w:t xml:space="preserve">delivered by hand; </w:t>
      </w:r>
      <w:r w:rsidR="00DC6D61" w:rsidRPr="00DC6D61">
        <w:rPr>
          <w:szCs w:val="22"/>
        </w:rPr>
        <w:t>or</w:t>
      </w:r>
      <w:bookmarkEnd w:id="122"/>
    </w:p>
    <w:p w14:paraId="79B63523" w14:textId="77777777" w:rsidR="00DC6D61" w:rsidRPr="00DC6D61" w:rsidRDefault="00DC6D61" w:rsidP="00DC6D61">
      <w:pPr>
        <w:pStyle w:val="Untitledsubclause3"/>
        <w:spacing w:before="60"/>
        <w:rPr>
          <w:szCs w:val="22"/>
        </w:rPr>
      </w:pPr>
      <w:bookmarkStart w:id="123" w:name="a761136"/>
      <w:r w:rsidRPr="00DC6D61">
        <w:rPr>
          <w:szCs w:val="22"/>
        </w:rPr>
        <w:t xml:space="preserve">sent by pre-paid </w:t>
      </w:r>
      <w:proofErr w:type="gramStart"/>
      <w:r w:rsidRPr="00DC6D61">
        <w:rPr>
          <w:szCs w:val="22"/>
        </w:rPr>
        <w:t>first class</w:t>
      </w:r>
      <w:proofErr w:type="gramEnd"/>
      <w:r w:rsidRPr="00DC6D61">
        <w:rPr>
          <w:szCs w:val="22"/>
        </w:rPr>
        <w:t xml:space="preserve"> post or another next da</w:t>
      </w:r>
      <w:r w:rsidR="008152CA">
        <w:rPr>
          <w:szCs w:val="22"/>
        </w:rPr>
        <w:t xml:space="preserve">y working day delivery service providing proof of </w:t>
      </w:r>
      <w:r w:rsidRPr="00DC6D61">
        <w:rPr>
          <w:szCs w:val="22"/>
        </w:rPr>
        <w:t>postage</w:t>
      </w:r>
      <w:r w:rsidR="008152CA">
        <w:rPr>
          <w:szCs w:val="22"/>
        </w:rPr>
        <w:t>;</w:t>
      </w:r>
      <w:r w:rsidRPr="00DC6D61">
        <w:rPr>
          <w:szCs w:val="22"/>
        </w:rPr>
        <w:t xml:space="preserve"> or</w:t>
      </w:r>
      <w:bookmarkEnd w:id="123"/>
    </w:p>
    <w:p w14:paraId="5E2185AF" w14:textId="77777777" w:rsidR="00DC6D61" w:rsidRPr="00DC6D61" w:rsidRDefault="00DC6D61" w:rsidP="00DC6D61">
      <w:pPr>
        <w:pStyle w:val="Untitledsubclause3"/>
        <w:spacing w:before="60"/>
        <w:rPr>
          <w:szCs w:val="22"/>
        </w:rPr>
      </w:pPr>
      <w:bookmarkStart w:id="124" w:name="a894525"/>
      <w:r w:rsidRPr="00DC6D61">
        <w:rPr>
          <w:szCs w:val="22"/>
        </w:rPr>
        <w:t>sent by email to an email address notified by the relevant party to the other party for such purpose</w:t>
      </w:r>
      <w:bookmarkEnd w:id="124"/>
      <w:r w:rsidR="008152CA">
        <w:rPr>
          <w:szCs w:val="22"/>
        </w:rPr>
        <w:t>.</w:t>
      </w:r>
    </w:p>
    <w:p w14:paraId="47128216" w14:textId="77777777" w:rsidR="00DC6D61" w:rsidRPr="00DC6D61" w:rsidRDefault="008152CA" w:rsidP="00DC6D61">
      <w:pPr>
        <w:pStyle w:val="Untitledsubclause1"/>
        <w:rPr>
          <w:szCs w:val="22"/>
        </w:rPr>
      </w:pPr>
      <w:bookmarkStart w:id="125" w:name="a701443"/>
      <w:r>
        <w:rPr>
          <w:szCs w:val="22"/>
        </w:rPr>
        <w:t xml:space="preserve">The </w:t>
      </w:r>
      <w:proofErr w:type="gramStart"/>
      <w:r>
        <w:rPr>
          <w:szCs w:val="22"/>
        </w:rPr>
        <w:t xml:space="preserve">addresses </w:t>
      </w:r>
      <w:r w:rsidR="00DC6D61" w:rsidRPr="00DC6D61">
        <w:rPr>
          <w:szCs w:val="22"/>
        </w:rPr>
        <w:t xml:space="preserve"> for</w:t>
      </w:r>
      <w:proofErr w:type="gramEnd"/>
      <w:r w:rsidR="00DC6D61" w:rsidRPr="00DC6D61">
        <w:rPr>
          <w:szCs w:val="22"/>
        </w:rPr>
        <w:t xml:space="preserve"> service of notice are:</w:t>
      </w:r>
      <w:bookmarkEnd w:id="125"/>
    </w:p>
    <w:p w14:paraId="2C1554F8" w14:textId="77777777" w:rsidR="00DC6D61" w:rsidRPr="00DC6D61" w:rsidRDefault="00DC6D61" w:rsidP="00DC6D61">
      <w:pPr>
        <w:pStyle w:val="Untitledsubclause2"/>
        <w:spacing w:before="60"/>
        <w:rPr>
          <w:szCs w:val="22"/>
        </w:rPr>
      </w:pPr>
      <w:bookmarkStart w:id="126" w:name="a800136"/>
      <w:r w:rsidRPr="00DC6D61">
        <w:rPr>
          <w:szCs w:val="22"/>
        </w:rPr>
        <w:t>Company</w:t>
      </w:r>
      <w:bookmarkEnd w:id="126"/>
    </w:p>
    <w:p w14:paraId="496972CE" w14:textId="77777777" w:rsidR="00DC6D61" w:rsidRPr="00DC6D61" w:rsidRDefault="00DC6D61" w:rsidP="00DC6D61">
      <w:pPr>
        <w:pStyle w:val="Untitledsubclause3"/>
        <w:spacing w:before="60"/>
        <w:rPr>
          <w:szCs w:val="22"/>
        </w:rPr>
      </w:pPr>
      <w:bookmarkStart w:id="127" w:name="a101804"/>
      <w:r w:rsidRPr="00DC6D61">
        <w:rPr>
          <w:szCs w:val="22"/>
        </w:rPr>
        <w:t xml:space="preserve">address: </w:t>
      </w:r>
      <w:r w:rsidR="009D0979">
        <w:rPr>
          <w:szCs w:val="22"/>
        </w:rPr>
        <w:t xml:space="preserve">c/o </w:t>
      </w:r>
      <w:proofErr w:type="spellStart"/>
      <w:r w:rsidR="009D0979">
        <w:rPr>
          <w:szCs w:val="22"/>
        </w:rPr>
        <w:t>Arkas</w:t>
      </w:r>
      <w:proofErr w:type="spellEnd"/>
      <w:r w:rsidR="009D0979">
        <w:rPr>
          <w:szCs w:val="22"/>
        </w:rPr>
        <w:t xml:space="preserve"> Investments, Third Floor, Lan</w:t>
      </w:r>
      <w:r w:rsidR="00AE1B59">
        <w:rPr>
          <w:szCs w:val="22"/>
        </w:rPr>
        <w:t>s</w:t>
      </w:r>
      <w:r w:rsidR="009D0979">
        <w:rPr>
          <w:szCs w:val="22"/>
        </w:rPr>
        <w:t>downe House Berkeley Square London W1J 6ER</w:t>
      </w:r>
      <w:bookmarkEnd w:id="127"/>
    </w:p>
    <w:p w14:paraId="6D6611F7" w14:textId="77777777" w:rsidR="00DC6D61" w:rsidRPr="00DC6D61" w:rsidRDefault="00DC6D61" w:rsidP="00DC6D61">
      <w:pPr>
        <w:pStyle w:val="Untitledsubclause3"/>
        <w:spacing w:before="60"/>
        <w:rPr>
          <w:szCs w:val="22"/>
        </w:rPr>
      </w:pPr>
      <w:bookmarkStart w:id="128" w:name="a417393"/>
      <w:r w:rsidRPr="00DC6D61">
        <w:rPr>
          <w:szCs w:val="22"/>
        </w:rPr>
        <w:t xml:space="preserve">for the attention of: </w:t>
      </w:r>
      <w:proofErr w:type="spellStart"/>
      <w:r w:rsidR="009D0979">
        <w:rPr>
          <w:szCs w:val="22"/>
        </w:rPr>
        <w:t>Aneil</w:t>
      </w:r>
      <w:proofErr w:type="spellEnd"/>
      <w:r w:rsidR="009D0979">
        <w:rPr>
          <w:szCs w:val="22"/>
        </w:rPr>
        <w:t xml:space="preserve"> Anand</w:t>
      </w:r>
      <w:bookmarkEnd w:id="128"/>
    </w:p>
    <w:p w14:paraId="7FCC155B" w14:textId="77777777" w:rsidR="00DC6D61" w:rsidRPr="00DC6D61" w:rsidRDefault="00DC6D61" w:rsidP="00DC6D61">
      <w:pPr>
        <w:pStyle w:val="Untitledsubclause2"/>
        <w:spacing w:before="60"/>
        <w:rPr>
          <w:szCs w:val="22"/>
        </w:rPr>
      </w:pPr>
      <w:bookmarkStart w:id="129" w:name="a310427"/>
      <w:r w:rsidRPr="00DC6D61">
        <w:rPr>
          <w:szCs w:val="22"/>
        </w:rPr>
        <w:t xml:space="preserve">Investor </w:t>
      </w:r>
      <w:bookmarkEnd w:id="129"/>
    </w:p>
    <w:p w14:paraId="535C4229" w14:textId="77777777" w:rsidR="00DC6D61" w:rsidRPr="00DC6D61" w:rsidRDefault="00DC6D61" w:rsidP="00DC6D61">
      <w:pPr>
        <w:pStyle w:val="Untitledsubclause3"/>
        <w:spacing w:before="60"/>
        <w:rPr>
          <w:szCs w:val="22"/>
        </w:rPr>
      </w:pPr>
      <w:bookmarkStart w:id="130" w:name="a189697"/>
      <w:r w:rsidRPr="00DC6D61">
        <w:rPr>
          <w:szCs w:val="22"/>
        </w:rPr>
        <w:lastRenderedPageBreak/>
        <w:t>address: to the address shown alongside its name in Schedule 1.</w:t>
      </w:r>
      <w:bookmarkEnd w:id="130"/>
    </w:p>
    <w:p w14:paraId="156313B6" w14:textId="036AC245" w:rsidR="00DC6D61" w:rsidRPr="00DC6D61" w:rsidRDefault="00DC6D61" w:rsidP="00DC6D61">
      <w:pPr>
        <w:pStyle w:val="Untitledsubclause3"/>
        <w:spacing w:before="60"/>
        <w:rPr>
          <w:szCs w:val="22"/>
        </w:rPr>
      </w:pPr>
      <w:bookmarkStart w:id="131" w:name="a227654"/>
      <w:r w:rsidRPr="00DC6D61">
        <w:rPr>
          <w:szCs w:val="22"/>
        </w:rPr>
        <w:t xml:space="preserve">for the attention of: </w:t>
      </w:r>
      <w:bookmarkEnd w:id="131"/>
      <w:r w:rsidR="00605C94">
        <w:rPr>
          <w:szCs w:val="22"/>
        </w:rPr>
        <w:t xml:space="preserve">Sanjeet Manek </w:t>
      </w:r>
    </w:p>
    <w:p w14:paraId="14F7E76A" w14:textId="54B9CF0E" w:rsidR="00DC6D61" w:rsidRPr="00DC6D61" w:rsidRDefault="00605C94" w:rsidP="00DC6D61">
      <w:pPr>
        <w:pStyle w:val="Untitledsubclause3"/>
        <w:spacing w:before="60"/>
        <w:rPr>
          <w:szCs w:val="22"/>
        </w:rPr>
      </w:pPr>
      <w:r>
        <w:rPr>
          <w:szCs w:val="22"/>
        </w:rPr>
        <w:t>Telephone No: +44 789 432 8185</w:t>
      </w:r>
      <w:r w:rsidR="00B27B51">
        <w:rPr>
          <w:szCs w:val="22"/>
        </w:rPr>
        <w:t>; Email: svmanek@hotmail.com</w:t>
      </w:r>
    </w:p>
    <w:p w14:paraId="05758D20" w14:textId="77777777" w:rsidR="00DC6D61" w:rsidRPr="00DC6D61" w:rsidRDefault="00DC6D61" w:rsidP="00DC6D61">
      <w:pPr>
        <w:pStyle w:val="Untitledsubclause2"/>
        <w:spacing w:before="60"/>
        <w:rPr>
          <w:szCs w:val="22"/>
        </w:rPr>
      </w:pPr>
      <w:bookmarkStart w:id="132" w:name="a747732"/>
      <w:r w:rsidRPr="00DC6D61">
        <w:rPr>
          <w:szCs w:val="22"/>
        </w:rPr>
        <w:t xml:space="preserve">In the case of the Founders, to the address </w:t>
      </w:r>
      <w:r w:rsidR="00AE1B59">
        <w:rPr>
          <w:szCs w:val="22"/>
        </w:rPr>
        <w:t>set out in 17.3</w:t>
      </w:r>
      <w:r w:rsidR="00630B78">
        <w:rPr>
          <w:szCs w:val="22"/>
        </w:rPr>
        <w:t>(a) above</w:t>
      </w:r>
      <w:r w:rsidRPr="00DC6D61">
        <w:rPr>
          <w:szCs w:val="22"/>
        </w:rPr>
        <w:t>.</w:t>
      </w:r>
      <w:bookmarkEnd w:id="132"/>
    </w:p>
    <w:p w14:paraId="09B3C046" w14:textId="77777777" w:rsidR="00DC6D61" w:rsidRPr="00DC6D61" w:rsidRDefault="00DC6D61" w:rsidP="00DC6D61">
      <w:pPr>
        <w:pStyle w:val="Untitledsubclause1"/>
        <w:rPr>
          <w:szCs w:val="22"/>
        </w:rPr>
      </w:pPr>
      <w:bookmarkStart w:id="133" w:name="a667285"/>
      <w:r w:rsidRPr="00DC6D61">
        <w:rPr>
          <w:szCs w:val="22"/>
        </w:rPr>
        <w:t xml:space="preserve">A party may change its details for service of notices as specified in clause </w:t>
      </w:r>
      <w:r w:rsidR="00630B78">
        <w:rPr>
          <w:szCs w:val="22"/>
        </w:rPr>
        <w:t>17.3</w:t>
      </w:r>
      <w:r w:rsidRPr="00DC6D61">
        <w:rPr>
          <w:szCs w:val="22"/>
        </w:rPr>
        <w:t xml:space="preserve"> by giving notice </w:t>
      </w:r>
      <w:r w:rsidR="008152CA">
        <w:rPr>
          <w:szCs w:val="22"/>
        </w:rPr>
        <w:t>in writing to the other parties</w:t>
      </w:r>
      <w:r w:rsidRPr="00DC6D61">
        <w:rPr>
          <w:szCs w:val="22"/>
        </w:rPr>
        <w:t>, provided that the address for service is an address in the Unit</w:t>
      </w:r>
      <w:r w:rsidR="008152CA">
        <w:rPr>
          <w:szCs w:val="22"/>
        </w:rPr>
        <w:t>ed Kingdom following any change</w:t>
      </w:r>
      <w:r w:rsidRPr="00DC6D61">
        <w:rPr>
          <w:szCs w:val="22"/>
        </w:rPr>
        <w:t>. Any change notified pursuant to this clause 25.4 shall take effect at 9.00 am on the later of:</w:t>
      </w:r>
      <w:bookmarkEnd w:id="133"/>
    </w:p>
    <w:p w14:paraId="4FE3E105" w14:textId="77777777" w:rsidR="00DC6D61" w:rsidRPr="00DC6D61" w:rsidRDefault="00DC6D61" w:rsidP="00DC6D61">
      <w:pPr>
        <w:pStyle w:val="Untitledsubclause2"/>
        <w:spacing w:before="60"/>
        <w:rPr>
          <w:szCs w:val="22"/>
        </w:rPr>
      </w:pPr>
      <w:bookmarkStart w:id="134" w:name="a991757"/>
      <w:r w:rsidRPr="00DC6D61">
        <w:rPr>
          <w:szCs w:val="22"/>
        </w:rPr>
        <w:t>the date (if any) specified in the notice as the effective date for the change; and</w:t>
      </w:r>
      <w:bookmarkEnd w:id="134"/>
    </w:p>
    <w:p w14:paraId="743C615E" w14:textId="77777777" w:rsidR="00DC6D61" w:rsidRPr="00DC6D61" w:rsidRDefault="008152CA" w:rsidP="00DC6D61">
      <w:pPr>
        <w:pStyle w:val="Untitledsubclause2"/>
        <w:spacing w:before="60"/>
        <w:rPr>
          <w:szCs w:val="22"/>
        </w:rPr>
      </w:pPr>
      <w:bookmarkStart w:id="135" w:name="a495742"/>
      <w:r>
        <w:rPr>
          <w:szCs w:val="22"/>
        </w:rPr>
        <w:t>five</w:t>
      </w:r>
      <w:r w:rsidR="00DC6D61" w:rsidRPr="00DC6D61">
        <w:rPr>
          <w:szCs w:val="22"/>
        </w:rPr>
        <w:t xml:space="preserve"> Business Days after deemed receipt of the notice of change.</w:t>
      </w:r>
      <w:bookmarkEnd w:id="135"/>
    </w:p>
    <w:p w14:paraId="4B704A36" w14:textId="77777777" w:rsidR="00DC6D61" w:rsidRPr="00DC6D61" w:rsidRDefault="00DC6D61" w:rsidP="00DC6D61">
      <w:pPr>
        <w:pStyle w:val="Untitledsubclause1"/>
        <w:rPr>
          <w:szCs w:val="22"/>
        </w:rPr>
      </w:pPr>
      <w:bookmarkStart w:id="136" w:name="a723098"/>
      <w:r w:rsidRPr="00DC6D61">
        <w:rPr>
          <w:szCs w:val="22"/>
        </w:rPr>
        <w:t>Delivery of a notice is deemed to have taken effect (provided that all other requirements in this clause have been satisfied):</w:t>
      </w:r>
      <w:bookmarkEnd w:id="136"/>
    </w:p>
    <w:p w14:paraId="2DDBC539" w14:textId="77777777" w:rsidR="00DC6D61" w:rsidRPr="00DC6D61" w:rsidRDefault="00DC6D61" w:rsidP="00DC6D61">
      <w:pPr>
        <w:pStyle w:val="Untitledsubclause2"/>
        <w:spacing w:before="60"/>
        <w:rPr>
          <w:szCs w:val="22"/>
        </w:rPr>
      </w:pPr>
      <w:bookmarkStart w:id="137" w:name="a357328"/>
      <w:r w:rsidRPr="00DC6D61">
        <w:rPr>
          <w:szCs w:val="22"/>
        </w:rPr>
        <w:t>if delivered by hand, on signature of a delivery receipt [or at the time th</w:t>
      </w:r>
      <w:r w:rsidR="008152CA">
        <w:rPr>
          <w:szCs w:val="22"/>
        </w:rPr>
        <w:t xml:space="preserve">e notice is left at the address; </w:t>
      </w:r>
      <w:r w:rsidRPr="00DC6D61">
        <w:rPr>
          <w:szCs w:val="22"/>
        </w:rPr>
        <w:t>or</w:t>
      </w:r>
      <w:bookmarkEnd w:id="137"/>
    </w:p>
    <w:p w14:paraId="6329D9BF" w14:textId="77777777" w:rsidR="00DC6D61" w:rsidRPr="00DC6D61" w:rsidRDefault="00DC6D61" w:rsidP="00DC6D61">
      <w:pPr>
        <w:pStyle w:val="Untitledsubclause2"/>
        <w:spacing w:before="60"/>
        <w:rPr>
          <w:szCs w:val="22"/>
        </w:rPr>
      </w:pPr>
      <w:bookmarkStart w:id="138" w:name="a915902"/>
      <w:r w:rsidRPr="00DC6D61">
        <w:rPr>
          <w:szCs w:val="22"/>
        </w:rPr>
        <w:t>if sent by pre-paid first-class post or another next day working day delive</w:t>
      </w:r>
      <w:r w:rsidR="008152CA">
        <w:rPr>
          <w:szCs w:val="22"/>
        </w:rPr>
        <w:t>ry service providing proof of postage</w:t>
      </w:r>
      <w:r w:rsidRPr="00DC6D61">
        <w:rPr>
          <w:szCs w:val="22"/>
        </w:rPr>
        <w:t xml:space="preserve"> to an address in the Uni</w:t>
      </w:r>
      <w:r w:rsidR="008152CA">
        <w:rPr>
          <w:szCs w:val="22"/>
        </w:rPr>
        <w:t>ted Kingdom, at 9.00 am on the second</w:t>
      </w:r>
      <w:r w:rsidR="00BD1C82">
        <w:rPr>
          <w:szCs w:val="22"/>
        </w:rPr>
        <w:t xml:space="preserve"> Business Day after posting </w:t>
      </w:r>
      <w:r w:rsidRPr="00DC6D61">
        <w:rPr>
          <w:szCs w:val="22"/>
        </w:rPr>
        <w:t>or at the time reco</w:t>
      </w:r>
      <w:r w:rsidR="008152CA">
        <w:rPr>
          <w:szCs w:val="22"/>
        </w:rPr>
        <w:t xml:space="preserve">rded by the delivery service; </w:t>
      </w:r>
      <w:r w:rsidRPr="00DC6D61">
        <w:rPr>
          <w:szCs w:val="22"/>
        </w:rPr>
        <w:t>or</w:t>
      </w:r>
      <w:bookmarkEnd w:id="138"/>
    </w:p>
    <w:p w14:paraId="57935D83" w14:textId="77777777" w:rsidR="00DC6D61" w:rsidRPr="00DC6D61" w:rsidRDefault="00DC6D61" w:rsidP="00DC6D61">
      <w:pPr>
        <w:pStyle w:val="Untitledsubclause2"/>
        <w:spacing w:before="60"/>
        <w:rPr>
          <w:szCs w:val="22"/>
        </w:rPr>
      </w:pPr>
      <w:bookmarkStart w:id="139" w:name="a465849"/>
      <w:r w:rsidRPr="00DC6D61">
        <w:rPr>
          <w:szCs w:val="22"/>
        </w:rPr>
        <w:t>if sent by email, at the time of transmission.; and</w:t>
      </w:r>
      <w:bookmarkEnd w:id="139"/>
    </w:p>
    <w:p w14:paraId="4B773E5C" w14:textId="77777777" w:rsidR="00DC6D61" w:rsidRPr="00DC6D61" w:rsidRDefault="00DC6D61" w:rsidP="00DC6D61">
      <w:pPr>
        <w:pStyle w:val="Untitledsubclause2"/>
        <w:spacing w:before="60"/>
        <w:rPr>
          <w:szCs w:val="22"/>
        </w:rPr>
      </w:pPr>
      <w:bookmarkStart w:id="140" w:name="a353886"/>
      <w:r w:rsidRPr="00DC6D61">
        <w:rPr>
          <w:szCs w:val="22"/>
        </w:rPr>
        <w:t xml:space="preserve">if deemed receipt under the previous paragraphs of this clause </w:t>
      </w:r>
      <w:r w:rsidR="00630B78">
        <w:rPr>
          <w:szCs w:val="22"/>
        </w:rPr>
        <w:t>17.5</w:t>
      </w:r>
      <w:r w:rsidRPr="00DC6D61">
        <w:rPr>
          <w:szCs w:val="22"/>
        </w:rPr>
        <w:t xml:space="preserve"> would occur outside business hours (meaning 9.00 am to 5.30 pm Monday to Friday on a day that is not a public holiday in the place of deemed receipt), at 9.00 am on the day when business next starts in the place of deemed receipt. For the purposes of this clause 25.5, all references to time are to local time in the place of deemed receipt.</w:t>
      </w:r>
      <w:bookmarkEnd w:id="140"/>
    </w:p>
    <w:p w14:paraId="38A02C1C" w14:textId="77777777" w:rsidR="00DC6D61" w:rsidRPr="00DC6D61" w:rsidRDefault="00DC6D61" w:rsidP="00DC6D61">
      <w:pPr>
        <w:pStyle w:val="Untitledsubclause1"/>
        <w:rPr>
          <w:szCs w:val="22"/>
        </w:rPr>
      </w:pPr>
      <w:bookmarkStart w:id="141" w:name="a845962"/>
      <w:r w:rsidRPr="00DC6D61">
        <w:rPr>
          <w:szCs w:val="22"/>
        </w:rPr>
        <w:t xml:space="preserve">To prove service, it is </w:t>
      </w:r>
      <w:proofErr w:type="gramStart"/>
      <w:r w:rsidRPr="00DC6D61">
        <w:rPr>
          <w:szCs w:val="22"/>
        </w:rPr>
        <w:t>sufficient</w:t>
      </w:r>
      <w:proofErr w:type="gramEnd"/>
      <w:r w:rsidRPr="00DC6D61">
        <w:rPr>
          <w:szCs w:val="22"/>
        </w:rPr>
        <w:t xml:space="preserve"> to prove that:</w:t>
      </w:r>
      <w:bookmarkEnd w:id="141"/>
    </w:p>
    <w:p w14:paraId="73C8FC18" w14:textId="77777777" w:rsidR="00DC6D61" w:rsidRPr="00DC6D61" w:rsidRDefault="006E3B74" w:rsidP="00DC6D61">
      <w:pPr>
        <w:pStyle w:val="Untitledsubclause2"/>
        <w:spacing w:before="60"/>
        <w:rPr>
          <w:szCs w:val="22"/>
        </w:rPr>
      </w:pPr>
      <w:bookmarkStart w:id="142" w:name="a566672"/>
      <w:r>
        <w:rPr>
          <w:szCs w:val="22"/>
        </w:rPr>
        <w:t>if delivered by hand</w:t>
      </w:r>
      <w:r w:rsidR="00DC6D61" w:rsidRPr="00DC6D61">
        <w:rPr>
          <w:szCs w:val="22"/>
        </w:rPr>
        <w:t>, the notice was del</w:t>
      </w:r>
      <w:r>
        <w:rPr>
          <w:szCs w:val="22"/>
        </w:rPr>
        <w:t xml:space="preserve">ivered to the correct address; </w:t>
      </w:r>
      <w:r w:rsidR="00DC6D61" w:rsidRPr="00DC6D61">
        <w:rPr>
          <w:szCs w:val="22"/>
        </w:rPr>
        <w:t>or</w:t>
      </w:r>
      <w:bookmarkEnd w:id="142"/>
    </w:p>
    <w:p w14:paraId="007C2154" w14:textId="77777777" w:rsidR="00DC6D61" w:rsidRPr="00DC6D61" w:rsidRDefault="006E3B74" w:rsidP="00DC6D61">
      <w:pPr>
        <w:pStyle w:val="Untitledsubclause2"/>
        <w:spacing w:before="60"/>
        <w:rPr>
          <w:szCs w:val="22"/>
        </w:rPr>
      </w:pPr>
      <w:bookmarkStart w:id="143" w:name="a528821"/>
      <w:r>
        <w:rPr>
          <w:szCs w:val="22"/>
        </w:rPr>
        <w:t>if sent by post</w:t>
      </w:r>
      <w:r w:rsidR="00DC6D61" w:rsidRPr="00DC6D61">
        <w:rPr>
          <w:szCs w:val="22"/>
        </w:rPr>
        <w:t>, the envelope containing the notice was properly a</w:t>
      </w:r>
      <w:r>
        <w:rPr>
          <w:szCs w:val="22"/>
        </w:rPr>
        <w:t xml:space="preserve">ddressed, paid for and posted; </w:t>
      </w:r>
      <w:r w:rsidR="00DC6D61" w:rsidRPr="00DC6D61">
        <w:rPr>
          <w:szCs w:val="22"/>
        </w:rPr>
        <w:t xml:space="preserve">or </w:t>
      </w:r>
      <w:bookmarkEnd w:id="143"/>
    </w:p>
    <w:p w14:paraId="351749B1" w14:textId="77777777" w:rsidR="00DC6D61" w:rsidRPr="00DC6D61" w:rsidRDefault="006E3B74" w:rsidP="00DC6D61">
      <w:pPr>
        <w:pStyle w:val="Untitledsubclause2"/>
        <w:spacing w:before="60"/>
        <w:rPr>
          <w:szCs w:val="22"/>
        </w:rPr>
      </w:pPr>
      <w:bookmarkStart w:id="144" w:name="a872757"/>
      <w:r>
        <w:rPr>
          <w:szCs w:val="22"/>
        </w:rPr>
        <w:t>I</w:t>
      </w:r>
      <w:r w:rsidR="00DC6D61" w:rsidRPr="00DC6D61">
        <w:rPr>
          <w:szCs w:val="22"/>
        </w:rPr>
        <w:t>f sent by email, the notice was properly addressed and sent to the email address of the recipient.</w:t>
      </w:r>
      <w:r w:rsidR="00DC6D61" w:rsidRPr="00DC6D61">
        <w:rPr>
          <w:szCs w:val="22"/>
        </w:rPr>
        <w:fldChar w:fldCharType="begin"/>
      </w:r>
      <w:r w:rsidR="00DC6D61" w:rsidRPr="00DC6D61">
        <w:rPr>
          <w:szCs w:val="22"/>
        </w:rPr>
        <w:fldChar w:fldCharType="end"/>
      </w:r>
      <w:bookmarkEnd w:id="144"/>
    </w:p>
    <w:p w14:paraId="5972CB4A" w14:textId="77777777" w:rsidR="00DC6D61" w:rsidRPr="00DC6D61" w:rsidRDefault="00DC6D61" w:rsidP="00DC6D61">
      <w:pPr>
        <w:pStyle w:val="Untitledsubclause1"/>
        <w:rPr>
          <w:szCs w:val="22"/>
        </w:rPr>
      </w:pPr>
      <w:bookmarkStart w:id="145" w:name="a472255"/>
      <w:r w:rsidRPr="00DC6D61">
        <w:rPr>
          <w:szCs w:val="22"/>
        </w:rPr>
        <w:t xml:space="preserve">This clause </w:t>
      </w:r>
      <w:r w:rsidR="00630B78">
        <w:rPr>
          <w:szCs w:val="22"/>
        </w:rPr>
        <w:t>17</w:t>
      </w:r>
      <w:r w:rsidRPr="00DC6D61">
        <w:rPr>
          <w:szCs w:val="22"/>
        </w:rPr>
        <w:t xml:space="preserve"> does not apply to the service of any proceedings or other documents in any legal action [or, where applicable, any arbitration or other method of dispute resolution].</w:t>
      </w:r>
      <w:bookmarkEnd w:id="145"/>
    </w:p>
    <w:p w14:paraId="23EDBFDF" w14:textId="77777777" w:rsidR="00DC6D61" w:rsidRPr="00DC6D61" w:rsidRDefault="00DC6D61" w:rsidP="00DC6D61">
      <w:pPr>
        <w:pStyle w:val="TitleClause"/>
        <w:rPr>
          <w:szCs w:val="22"/>
        </w:rPr>
      </w:pPr>
      <w:r w:rsidRPr="00DC6D61">
        <w:rPr>
          <w:szCs w:val="22"/>
        </w:rPr>
        <w:lastRenderedPageBreak/>
        <w:fldChar w:fldCharType="begin"/>
      </w:r>
      <w:r w:rsidRPr="00DC6D61">
        <w:rPr>
          <w:szCs w:val="22"/>
        </w:rPr>
        <w:instrText>TC "26. Further assurance" \l 1</w:instrText>
      </w:r>
      <w:r w:rsidRPr="00DC6D61">
        <w:rPr>
          <w:szCs w:val="22"/>
        </w:rPr>
        <w:fldChar w:fldCharType="end"/>
      </w:r>
      <w:bookmarkStart w:id="146" w:name="a946814"/>
      <w:bookmarkStart w:id="147" w:name="_Toc256000025"/>
      <w:r w:rsidRPr="00DC6D61">
        <w:rPr>
          <w:szCs w:val="22"/>
        </w:rPr>
        <w:t>Further assurance</w:t>
      </w:r>
      <w:bookmarkEnd w:id="146"/>
      <w:bookmarkEnd w:id="147"/>
    </w:p>
    <w:p w14:paraId="72E6920B" w14:textId="77777777" w:rsidR="00DC6D61" w:rsidRPr="00DC6D61" w:rsidRDefault="00DC6D61" w:rsidP="00DC6D61">
      <w:pPr>
        <w:pStyle w:val="NoNumUntitledsubclause1"/>
        <w:rPr>
          <w:szCs w:val="22"/>
        </w:rPr>
      </w:pPr>
      <w:bookmarkStart w:id="148" w:name="a749753"/>
      <w:r w:rsidRPr="00DC6D61">
        <w:rPr>
          <w:szCs w:val="22"/>
        </w:rPr>
        <w:t xml:space="preserve">Without prejudice to clause </w:t>
      </w:r>
      <w:r w:rsidRPr="00630B78">
        <w:rPr>
          <w:szCs w:val="22"/>
        </w:rPr>
        <w:fldChar w:fldCharType="begin"/>
      </w:r>
      <w:r w:rsidRPr="00630B78">
        <w:rPr>
          <w:szCs w:val="22"/>
        </w:rPr>
        <w:instrText>REF a308748 \h \w \n</w:instrText>
      </w:r>
      <w:r w:rsidR="007D20B8" w:rsidRPr="00630B78">
        <w:rPr>
          <w:szCs w:val="22"/>
        </w:rPr>
        <w:instrText xml:space="preserve"> \* MERGEFORMAT </w:instrText>
      </w:r>
      <w:r w:rsidRPr="00630B78">
        <w:rPr>
          <w:szCs w:val="22"/>
        </w:rPr>
      </w:r>
      <w:r w:rsidRPr="00630B78">
        <w:rPr>
          <w:szCs w:val="22"/>
        </w:rPr>
        <w:fldChar w:fldCharType="separate"/>
      </w:r>
      <w:r w:rsidR="002B65AC" w:rsidRPr="00630B78">
        <w:rPr>
          <w:szCs w:val="22"/>
        </w:rPr>
        <w:t>2</w:t>
      </w:r>
      <w:r w:rsidRPr="00630B78">
        <w:rPr>
          <w:szCs w:val="22"/>
        </w:rPr>
        <w:fldChar w:fldCharType="end"/>
      </w:r>
      <w:r w:rsidR="006E3B74">
        <w:rPr>
          <w:szCs w:val="22"/>
        </w:rPr>
        <w:t xml:space="preserve">, </w:t>
      </w:r>
      <w:r w:rsidRPr="00DC6D61">
        <w:rPr>
          <w:szCs w:val="22"/>
        </w:rPr>
        <w:t>at its ow</w:t>
      </w:r>
      <w:r w:rsidR="006E3B74">
        <w:rPr>
          <w:szCs w:val="22"/>
        </w:rPr>
        <w:t>n expense</w:t>
      </w:r>
      <w:r w:rsidRPr="00DC6D61">
        <w:rPr>
          <w:szCs w:val="22"/>
        </w:rPr>
        <w:t xml:space="preserve"> each party shall, and shall use all reasonable endeavours to procure that an</w:t>
      </w:r>
      <w:r w:rsidR="006E3B74">
        <w:rPr>
          <w:szCs w:val="22"/>
        </w:rPr>
        <w:t>y necessary third party shall, promptly</w:t>
      </w:r>
      <w:r w:rsidRPr="00DC6D61">
        <w:rPr>
          <w:szCs w:val="22"/>
        </w:rPr>
        <w:t xml:space="preserve"> execute and deliver such document</w:t>
      </w:r>
      <w:r w:rsidR="00370FFC">
        <w:rPr>
          <w:szCs w:val="22"/>
        </w:rPr>
        <w:t>s and perform such acts as may reasonably</w:t>
      </w:r>
      <w:r w:rsidRPr="00DC6D61">
        <w:rPr>
          <w:szCs w:val="22"/>
        </w:rPr>
        <w:t xml:space="preserve"> be required for the purpose of giving full effect to this agreement.</w:t>
      </w:r>
      <w:bookmarkEnd w:id="148"/>
    </w:p>
    <w:p w14:paraId="127DAD81" w14:textId="77777777" w:rsidR="00DC6D61" w:rsidRPr="00DC6D61" w:rsidRDefault="00DC6D61" w:rsidP="00DC6D61">
      <w:pPr>
        <w:pStyle w:val="TitleClause"/>
        <w:rPr>
          <w:szCs w:val="22"/>
        </w:rPr>
      </w:pPr>
      <w:r w:rsidRPr="00DC6D61">
        <w:rPr>
          <w:szCs w:val="22"/>
        </w:rPr>
        <w:fldChar w:fldCharType="begin"/>
      </w:r>
      <w:r w:rsidRPr="00DC6D61">
        <w:rPr>
          <w:szCs w:val="22"/>
        </w:rPr>
        <w:instrText>TC "27. Counterparts" \l 1</w:instrText>
      </w:r>
      <w:r w:rsidRPr="00DC6D61">
        <w:rPr>
          <w:szCs w:val="22"/>
        </w:rPr>
        <w:fldChar w:fldCharType="end"/>
      </w:r>
      <w:bookmarkStart w:id="149" w:name="a406064"/>
      <w:bookmarkStart w:id="150" w:name="_Toc256000026"/>
      <w:r w:rsidRPr="00DC6D61">
        <w:rPr>
          <w:szCs w:val="22"/>
        </w:rPr>
        <w:t>Counterparts</w:t>
      </w:r>
      <w:bookmarkEnd w:id="149"/>
      <w:bookmarkEnd w:id="150"/>
    </w:p>
    <w:p w14:paraId="7A75EAED" w14:textId="77777777" w:rsidR="00DC6D61" w:rsidRPr="00DC6D61" w:rsidRDefault="00DC6D61" w:rsidP="00DC6D61">
      <w:pPr>
        <w:pStyle w:val="Untitledsubclause1"/>
        <w:rPr>
          <w:szCs w:val="22"/>
        </w:rPr>
      </w:pPr>
      <w:bookmarkStart w:id="151" w:name="a744649"/>
      <w:r w:rsidRPr="00DC6D61">
        <w:rPr>
          <w:szCs w:val="22"/>
        </w:rPr>
        <w:t>This agreement may be executed in any number of counterpart</w:t>
      </w:r>
      <w:r w:rsidR="006E3B74">
        <w:rPr>
          <w:szCs w:val="22"/>
        </w:rPr>
        <w:t xml:space="preserve">s, each of which when executed </w:t>
      </w:r>
      <w:r w:rsidRPr="00DC6D61">
        <w:rPr>
          <w:szCs w:val="22"/>
        </w:rPr>
        <w:t>and delivered shall constitute a duplicate original, but all the counterparts shall together constitute the one agreement.</w:t>
      </w:r>
      <w:bookmarkEnd w:id="151"/>
    </w:p>
    <w:p w14:paraId="18C287BA" w14:textId="77777777" w:rsidR="00DC6D61" w:rsidRPr="00DC6D61" w:rsidRDefault="00DC6D61" w:rsidP="00DC6D61">
      <w:pPr>
        <w:pStyle w:val="Untitledsubclause1"/>
        <w:rPr>
          <w:szCs w:val="22"/>
        </w:rPr>
      </w:pPr>
      <w:r w:rsidRPr="00DC6D61">
        <w:rPr>
          <w:szCs w:val="22"/>
        </w:rPr>
        <w:fldChar w:fldCharType="begin"/>
      </w:r>
      <w:r w:rsidRPr="00DC6D61">
        <w:rPr>
          <w:szCs w:val="22"/>
        </w:rPr>
        <w:fldChar w:fldCharType="end"/>
      </w:r>
      <w:bookmarkStart w:id="152" w:name="a428332"/>
      <w:r w:rsidRPr="00DC6D61">
        <w:rPr>
          <w:szCs w:val="22"/>
        </w:rPr>
        <w:t>Transmission of an executed counterpart of this agreement (but for the avoidance of doubt not just a signature page) by (a) fax or (b) email (in PDF, JPEG or other agreed format),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w:t>
      </w:r>
      <w:bookmarkEnd w:id="152"/>
    </w:p>
    <w:p w14:paraId="79DDA755" w14:textId="77777777" w:rsidR="00DC6D61" w:rsidRPr="00DC6D61" w:rsidRDefault="00DC6D61" w:rsidP="00DC6D61">
      <w:pPr>
        <w:pStyle w:val="Untitledsubclause1"/>
        <w:rPr>
          <w:szCs w:val="22"/>
        </w:rPr>
      </w:pPr>
      <w:bookmarkStart w:id="153" w:name="a181388"/>
      <w:r w:rsidRPr="00DC6D61">
        <w:rPr>
          <w:szCs w:val="22"/>
        </w:rPr>
        <w:t>No counterpart shall be effective</w:t>
      </w:r>
      <w:r w:rsidR="006E3B74">
        <w:rPr>
          <w:szCs w:val="22"/>
        </w:rPr>
        <w:t xml:space="preserve"> until each party has executed and delivered</w:t>
      </w:r>
      <w:r w:rsidRPr="00DC6D61">
        <w:rPr>
          <w:szCs w:val="22"/>
        </w:rPr>
        <w:t xml:space="preserve"> at least one counterpart.</w:t>
      </w:r>
      <w:bookmarkEnd w:id="153"/>
    </w:p>
    <w:p w14:paraId="476973FF" w14:textId="77777777" w:rsidR="00DC6D61" w:rsidRPr="00DC6D61" w:rsidRDefault="00DC6D61" w:rsidP="00DC6D61">
      <w:pPr>
        <w:pStyle w:val="TitleClause"/>
        <w:rPr>
          <w:szCs w:val="22"/>
        </w:rPr>
      </w:pPr>
      <w:r w:rsidRPr="00DC6D61">
        <w:rPr>
          <w:szCs w:val="22"/>
        </w:rPr>
        <w:fldChar w:fldCharType="begin"/>
      </w:r>
      <w:r w:rsidRPr="00DC6D61">
        <w:rPr>
          <w:szCs w:val="22"/>
        </w:rPr>
        <w:instrText>TC "28. No partnership" \l 1</w:instrText>
      </w:r>
      <w:r w:rsidRPr="00DC6D61">
        <w:rPr>
          <w:szCs w:val="22"/>
        </w:rPr>
        <w:fldChar w:fldCharType="end"/>
      </w:r>
      <w:bookmarkStart w:id="154" w:name="a171394"/>
      <w:bookmarkStart w:id="155" w:name="_Toc256000027"/>
      <w:r w:rsidRPr="00DC6D61">
        <w:rPr>
          <w:szCs w:val="22"/>
        </w:rPr>
        <w:t>No partnership</w:t>
      </w:r>
      <w:bookmarkEnd w:id="154"/>
      <w:bookmarkEnd w:id="155"/>
    </w:p>
    <w:p w14:paraId="3393CAE4" w14:textId="77777777" w:rsidR="00DC6D61" w:rsidRPr="00DC6D61" w:rsidRDefault="00DC6D61" w:rsidP="00DC6D61">
      <w:pPr>
        <w:pStyle w:val="Untitledsubclause1"/>
        <w:rPr>
          <w:szCs w:val="22"/>
        </w:rPr>
      </w:pPr>
      <w:bookmarkStart w:id="156" w:name="a461418"/>
      <w:r w:rsidRPr="00DC6D61">
        <w:rPr>
          <w:szCs w:val="22"/>
        </w:rPr>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w:t>
      </w:r>
      <w:bookmarkEnd w:id="156"/>
    </w:p>
    <w:p w14:paraId="47DB4AB8" w14:textId="77777777" w:rsidR="00DC6D61" w:rsidRPr="00DC6D61" w:rsidRDefault="00DC6D61" w:rsidP="00DC6D61">
      <w:pPr>
        <w:pStyle w:val="Untitledsubclause1"/>
        <w:rPr>
          <w:szCs w:val="22"/>
        </w:rPr>
      </w:pPr>
      <w:bookmarkStart w:id="157" w:name="a594605"/>
      <w:r w:rsidRPr="00DC6D61">
        <w:rPr>
          <w:szCs w:val="22"/>
        </w:rPr>
        <w:t>Each party confirms it is acting on its own behalf and not for the benefit of any other person.</w:t>
      </w:r>
      <w:bookmarkEnd w:id="157"/>
    </w:p>
    <w:p w14:paraId="42CE5008" w14:textId="77777777" w:rsidR="00DC6D61" w:rsidRPr="00DC6D61" w:rsidRDefault="00DC6D61" w:rsidP="00DC6D61">
      <w:pPr>
        <w:pStyle w:val="TitleClause"/>
        <w:rPr>
          <w:szCs w:val="22"/>
        </w:rPr>
      </w:pPr>
      <w:r w:rsidRPr="00DC6D61">
        <w:rPr>
          <w:szCs w:val="22"/>
        </w:rPr>
        <w:fldChar w:fldCharType="begin"/>
      </w:r>
      <w:r w:rsidRPr="00DC6D61">
        <w:rPr>
          <w:szCs w:val="22"/>
        </w:rPr>
        <w:instrText>TC "31. Governing law and jurisdiction" \l 1</w:instrText>
      </w:r>
      <w:r w:rsidRPr="00DC6D61">
        <w:rPr>
          <w:szCs w:val="22"/>
        </w:rPr>
        <w:fldChar w:fldCharType="end"/>
      </w:r>
      <w:bookmarkStart w:id="158" w:name="a436125"/>
      <w:bookmarkStart w:id="159" w:name="_Toc256000030"/>
      <w:r w:rsidRPr="00DC6D61">
        <w:rPr>
          <w:szCs w:val="22"/>
        </w:rPr>
        <w:t>Governing law and jurisdiction</w:t>
      </w:r>
      <w:bookmarkEnd w:id="158"/>
      <w:bookmarkEnd w:id="159"/>
    </w:p>
    <w:p w14:paraId="7FE11EEA" w14:textId="77777777" w:rsidR="00DC6D61" w:rsidRPr="00DC6D61" w:rsidRDefault="00DC6D61" w:rsidP="00DC6D61">
      <w:pPr>
        <w:pStyle w:val="Untitledsubclause1"/>
        <w:rPr>
          <w:szCs w:val="22"/>
        </w:rPr>
      </w:pPr>
      <w:bookmarkStart w:id="160" w:name="a126049"/>
      <w:r w:rsidRPr="00DC6D61">
        <w:rPr>
          <w:szCs w:val="22"/>
        </w:rPr>
        <w:t xml:space="preserve">This agreement and any dispute or claim (including non-contractual disputes or claims) arising out of or in connection with its subject matter or formation shall be governed by and construed in accordance with the law of </w:t>
      </w:r>
      <w:r w:rsidR="009D0979">
        <w:rPr>
          <w:szCs w:val="22"/>
        </w:rPr>
        <w:t>England and Wales</w:t>
      </w:r>
      <w:r w:rsidRPr="00DC6D61">
        <w:rPr>
          <w:szCs w:val="22"/>
        </w:rPr>
        <w:t>.</w:t>
      </w:r>
      <w:bookmarkEnd w:id="160"/>
    </w:p>
    <w:p w14:paraId="7A6BF94E" w14:textId="77777777" w:rsidR="00DC6D61" w:rsidRDefault="00DC6D61" w:rsidP="00DC6D61">
      <w:pPr>
        <w:pStyle w:val="Untitledsubclause1"/>
        <w:rPr>
          <w:szCs w:val="22"/>
        </w:rPr>
      </w:pPr>
      <w:bookmarkStart w:id="161" w:name="a640638"/>
      <w:r w:rsidRPr="00DC6D61">
        <w:rPr>
          <w:szCs w:val="22"/>
        </w:rPr>
        <w:t xml:space="preserve">Each party irrevocably agrees that the courts of </w:t>
      </w:r>
      <w:r w:rsidR="009D0979">
        <w:rPr>
          <w:szCs w:val="22"/>
        </w:rPr>
        <w:t>England</w:t>
      </w:r>
      <w:r w:rsidR="006E3B74">
        <w:rPr>
          <w:szCs w:val="22"/>
        </w:rPr>
        <w:t xml:space="preserve"> shall have non-exclusive</w:t>
      </w:r>
      <w:r w:rsidRPr="00DC6D61">
        <w:rPr>
          <w:szCs w:val="22"/>
        </w:rPr>
        <w:t xml:space="preserve"> jurisdiction to settle any dispute or claim (including non-contractual disputes or claims) that arises out of or in connection with this agreement or its subject matter or formation.</w:t>
      </w:r>
      <w:bookmarkEnd w:id="161"/>
    </w:p>
    <w:p w14:paraId="1B4820BF" w14:textId="77777777" w:rsidR="00183CDF" w:rsidRDefault="00183CDF" w:rsidP="00183CDF">
      <w:pPr>
        <w:pStyle w:val="TitleClause"/>
        <w:rPr>
          <w:szCs w:val="22"/>
        </w:rPr>
      </w:pPr>
      <w:r>
        <w:rPr>
          <w:szCs w:val="22"/>
        </w:rPr>
        <w:t>Disclaimer</w:t>
      </w:r>
    </w:p>
    <w:p w14:paraId="391CF928" w14:textId="77777777" w:rsidR="00183CDF" w:rsidRPr="007A747A" w:rsidRDefault="00183CDF" w:rsidP="00183CDF">
      <w:pPr>
        <w:pStyle w:val="Untitledsubclause1"/>
        <w:rPr>
          <w:szCs w:val="22"/>
        </w:rPr>
      </w:pPr>
      <w:r w:rsidRPr="007A747A">
        <w:t>The Company does not provide any warranty or guarantee as to the recove</w:t>
      </w:r>
      <w:r w:rsidR="00BD303F">
        <w:t xml:space="preserve">ry of the Principal </w:t>
      </w:r>
      <w:r w:rsidR="00370FFC">
        <w:t>Investment or Profit which remains at risk</w:t>
      </w:r>
      <w:r w:rsidRPr="007A747A">
        <w:t xml:space="preserve">. </w:t>
      </w:r>
    </w:p>
    <w:p w14:paraId="278F4F18" w14:textId="77777777" w:rsidR="00183CDF" w:rsidRPr="007A747A" w:rsidRDefault="00183CDF" w:rsidP="00183CDF">
      <w:pPr>
        <w:pStyle w:val="Untitledsubclause1"/>
      </w:pPr>
      <w:r w:rsidRPr="007A747A">
        <w:lastRenderedPageBreak/>
        <w:t xml:space="preserve">The Investor hereby confirms it has made its own enquiries and </w:t>
      </w:r>
      <w:r w:rsidR="00370FFC">
        <w:t xml:space="preserve">has </w:t>
      </w:r>
      <w:r w:rsidRPr="007A747A">
        <w:t>take</w:t>
      </w:r>
      <w:r w:rsidR="00370FFC">
        <w:t>n</w:t>
      </w:r>
      <w:r w:rsidRPr="007A747A">
        <w:t xml:space="preserve"> such advice as it deems necessary ahead of Completion. The Investor remain</w:t>
      </w:r>
      <w:r w:rsidR="00370FFC">
        <w:t>s</w:t>
      </w:r>
      <w:r w:rsidRPr="007A747A">
        <w:t xml:space="preserve"> responsible for establishing the suitability of the Investment and consider</w:t>
      </w:r>
      <w:r w:rsidR="00370FFC">
        <w:t>s</w:t>
      </w:r>
      <w:r w:rsidRPr="007A747A">
        <w:t xml:space="preserve"> its knowledge of such products, their financial circumstances and investment risk appetite. The Investor hereby acknowledges that it has had the opportunity to seek independent financial advice before making such financial commitments.  </w:t>
      </w:r>
    </w:p>
    <w:p w14:paraId="3FDA2436" w14:textId="77777777" w:rsidR="00DC6D61" w:rsidRPr="00DC6D61" w:rsidRDefault="00DC6D61" w:rsidP="00DC6D61">
      <w:pPr>
        <w:pStyle w:val="Testimonium"/>
        <w:rPr>
          <w:szCs w:val="22"/>
        </w:rPr>
      </w:pPr>
      <w:r w:rsidRPr="00DC6D61">
        <w:rPr>
          <w:szCs w:val="22"/>
        </w:rPr>
        <w:t xml:space="preserve">This agreement has been </w:t>
      </w:r>
      <w:proofErr w:type="gramStart"/>
      <w:r w:rsidRPr="00DC6D61">
        <w:rPr>
          <w:szCs w:val="22"/>
        </w:rPr>
        <w:t>entered into</w:t>
      </w:r>
      <w:proofErr w:type="gramEnd"/>
      <w:r w:rsidRPr="00DC6D61">
        <w:rPr>
          <w:szCs w:val="22"/>
        </w:rPr>
        <w:t xml:space="preserve"> on the date stated at the beginning of it.</w:t>
      </w:r>
    </w:p>
    <w:p w14:paraId="2EABF2F3" w14:textId="77777777" w:rsidR="00DC6D61" w:rsidRPr="00DC6D61" w:rsidRDefault="00DC6D61">
      <w:r w:rsidRPr="00DC6D61">
        <w:br w:type="page"/>
      </w:r>
    </w:p>
    <w:p w14:paraId="15942B1F" w14:textId="30BFA013" w:rsidR="00DC6D61" w:rsidRDefault="00DC6D61" w:rsidP="00DC6D61">
      <w:pPr>
        <w:pStyle w:val="Schedule"/>
        <w:rPr>
          <w:rFonts w:ascii="Calibri" w:hAnsi="Calibri"/>
        </w:rPr>
      </w:pPr>
      <w:bookmarkStart w:id="162" w:name="a114201"/>
      <w:bookmarkStart w:id="163" w:name="_Toc256000031"/>
      <w:r w:rsidRPr="00DC6D61">
        <w:rPr>
          <w:rFonts w:ascii="Calibri" w:hAnsi="Calibri"/>
        </w:rPr>
        <w:lastRenderedPageBreak/>
        <w:t>The Founders</w:t>
      </w:r>
      <w:bookmarkEnd w:id="162"/>
      <w:bookmarkEnd w:id="163"/>
    </w:p>
    <w:p w14:paraId="426CB359" w14:textId="77777777" w:rsidR="00605C94" w:rsidRPr="00DC6D61" w:rsidRDefault="00605C94" w:rsidP="00605C94">
      <w:pPr>
        <w:pStyle w:val="Schedule"/>
        <w:numPr>
          <w:ilvl w:val="0"/>
          <w:numId w:val="0"/>
        </w:numPr>
        <w:rPr>
          <w:rFonts w:ascii="Calibri" w:hAnsi="Calibri"/>
        </w:rPr>
      </w:pPr>
    </w:p>
    <w:p w14:paraId="70470BBE" w14:textId="3160FBFB" w:rsidR="00DC6D61" w:rsidRDefault="00DC6D61" w:rsidP="00DC6D61">
      <w:pPr>
        <w:pStyle w:val="Part"/>
        <w:rPr>
          <w:szCs w:val="22"/>
        </w:rPr>
      </w:pPr>
      <w:bookmarkStart w:id="164" w:name="a535130"/>
      <w:bookmarkStart w:id="165" w:name="_Toc256000032"/>
      <w:r w:rsidRPr="00DC6D61">
        <w:rPr>
          <w:szCs w:val="22"/>
        </w:rPr>
        <w:t>The Investor</w:t>
      </w:r>
      <w:bookmarkEnd w:id="164"/>
      <w:bookmarkEnd w:id="165"/>
    </w:p>
    <w:p w14:paraId="37D910F6" w14:textId="52FDBF32" w:rsidR="00605C94" w:rsidRDefault="00605C94" w:rsidP="00605C94">
      <w:pPr>
        <w:pStyle w:val="NoSpacing"/>
      </w:pPr>
      <w:r w:rsidRPr="00605C94">
        <w:t xml:space="preserve">Name and address of </w:t>
      </w:r>
      <w:r w:rsidR="004C5046">
        <w:t xml:space="preserve">Investor </w:t>
      </w:r>
      <w:r w:rsidRPr="00605C94">
        <w:t xml:space="preserve"> </w:t>
      </w:r>
    </w:p>
    <w:p w14:paraId="332BC209" w14:textId="77777777" w:rsidR="00605C94" w:rsidRPr="00605C94" w:rsidRDefault="00605C94" w:rsidP="00605C94">
      <w:pPr>
        <w:pStyle w:val="NoSpacing"/>
      </w:pPr>
    </w:p>
    <w:p w14:paraId="6A52C822" w14:textId="5D683664" w:rsidR="00605C94" w:rsidRPr="00605C94" w:rsidRDefault="00605C94" w:rsidP="00605C94">
      <w:pPr>
        <w:pStyle w:val="NoSpacing"/>
      </w:pPr>
      <w:r w:rsidRPr="00605C94">
        <w:t xml:space="preserve">DAI (UK) Pension Scheme </w:t>
      </w:r>
      <w:r w:rsidR="00B27B51">
        <w:t xml:space="preserve">- S Manek </w:t>
      </w:r>
    </w:p>
    <w:p w14:paraId="04D4C102" w14:textId="77777777" w:rsidR="00605C94" w:rsidRPr="00605C94" w:rsidRDefault="00605C94" w:rsidP="00605C94">
      <w:pPr>
        <w:pStyle w:val="NoSpacing"/>
      </w:pPr>
      <w:r w:rsidRPr="00605C94">
        <w:t>27 Hill Street</w:t>
      </w:r>
    </w:p>
    <w:p w14:paraId="70FD187B" w14:textId="77777777" w:rsidR="00605C94" w:rsidRPr="00605C94" w:rsidRDefault="00605C94" w:rsidP="00605C94">
      <w:pPr>
        <w:pStyle w:val="NoSpacing"/>
      </w:pPr>
      <w:r w:rsidRPr="00605C94">
        <w:t xml:space="preserve">London </w:t>
      </w:r>
    </w:p>
    <w:p w14:paraId="70AF9FF3" w14:textId="1D6C766D" w:rsidR="00605C94" w:rsidRPr="00605C94" w:rsidRDefault="00605C94" w:rsidP="00605C94">
      <w:pPr>
        <w:pStyle w:val="NoSpacing"/>
      </w:pPr>
      <w:r w:rsidRPr="00605C94">
        <w:t>W1J 5LP</w:t>
      </w:r>
    </w:p>
    <w:p w14:paraId="6507EAE5" w14:textId="77777777" w:rsidR="00605C94" w:rsidRPr="00605C94" w:rsidRDefault="00605C94" w:rsidP="00605C94">
      <w:pPr>
        <w:pStyle w:val="Part"/>
        <w:numPr>
          <w:ilvl w:val="0"/>
          <w:numId w:val="0"/>
        </w:numPr>
        <w:spacing w:line="240" w:lineRule="auto"/>
        <w:rPr>
          <w:b w:val="0"/>
          <w:szCs w:val="22"/>
        </w:rPr>
      </w:pPr>
    </w:p>
    <w:p w14:paraId="23A901C0" w14:textId="77777777" w:rsidR="00DC6D61" w:rsidRPr="00DC6D61" w:rsidRDefault="00DC6D61" w:rsidP="00DC6D61">
      <w:pPr>
        <w:pStyle w:val="Part"/>
        <w:rPr>
          <w:szCs w:val="22"/>
        </w:rPr>
      </w:pPr>
      <w:bookmarkStart w:id="166" w:name="a354499"/>
      <w:bookmarkStart w:id="167" w:name="_Toc256000033"/>
      <w:r w:rsidRPr="00DC6D61">
        <w:rPr>
          <w:szCs w:val="22"/>
        </w:rPr>
        <w:t>The Founders</w:t>
      </w:r>
      <w:bookmarkEnd w:id="166"/>
      <w:bookmarkEnd w:id="167"/>
    </w:p>
    <w:tbl>
      <w:tblPr>
        <w:tblW w:w="1745" w:type="pct"/>
        <w:tblLook w:val="04A0" w:firstRow="1" w:lastRow="0" w:firstColumn="1" w:lastColumn="0" w:noHBand="0" w:noVBand="1"/>
      </w:tblPr>
      <w:tblGrid>
        <w:gridCol w:w="3267"/>
      </w:tblGrid>
      <w:tr w:rsidR="00B96281" w:rsidRPr="00170081" w14:paraId="27292E1F" w14:textId="77777777" w:rsidTr="001D03E8">
        <w:trPr>
          <w:trHeight w:val="325"/>
        </w:trPr>
        <w:tc>
          <w:tcPr>
            <w:tcW w:w="5000" w:type="pct"/>
            <w:tcBorders>
              <w:top w:val="nil"/>
              <w:left w:val="nil"/>
              <w:bottom w:val="nil"/>
              <w:right w:val="nil"/>
            </w:tcBorders>
          </w:tcPr>
          <w:p w14:paraId="25B4E104" w14:textId="77777777" w:rsidR="00B96281" w:rsidRPr="00170081" w:rsidRDefault="00B96281" w:rsidP="00DC6D61">
            <w:pPr>
              <w:pStyle w:val="Paragraph"/>
              <w:jc w:val="left"/>
              <w:rPr>
                <w:szCs w:val="22"/>
              </w:rPr>
            </w:pPr>
            <w:r w:rsidRPr="00170081">
              <w:rPr>
                <w:szCs w:val="22"/>
              </w:rPr>
              <w:t>Name and address of Founder</w:t>
            </w:r>
          </w:p>
        </w:tc>
      </w:tr>
      <w:tr w:rsidR="00B96281" w:rsidRPr="00170081" w14:paraId="7ECDD7EE" w14:textId="77777777" w:rsidTr="001D03E8">
        <w:trPr>
          <w:trHeight w:val="638"/>
        </w:trPr>
        <w:tc>
          <w:tcPr>
            <w:tcW w:w="5000" w:type="pct"/>
            <w:tcBorders>
              <w:top w:val="nil"/>
              <w:left w:val="nil"/>
              <w:bottom w:val="nil"/>
              <w:right w:val="nil"/>
            </w:tcBorders>
          </w:tcPr>
          <w:p w14:paraId="71DB22AA" w14:textId="77777777" w:rsidR="00B96281" w:rsidRPr="00170081" w:rsidRDefault="00B96281">
            <w:proofErr w:type="spellStart"/>
            <w:r w:rsidRPr="001D03E8">
              <w:rPr>
                <w:b/>
                <w:bCs/>
              </w:rPr>
              <w:t>Aneil</w:t>
            </w:r>
            <w:proofErr w:type="spellEnd"/>
            <w:r w:rsidRPr="001D03E8">
              <w:rPr>
                <w:b/>
                <w:bCs/>
              </w:rPr>
              <w:t xml:space="preserve"> Anand</w:t>
            </w:r>
            <w:r w:rsidRPr="00170081">
              <w:t xml:space="preserve"> of </w:t>
            </w:r>
            <w:r w:rsidR="001D03E8">
              <w:t>Lansdowne House, Third Floor, Berkley Square, Mayfair, London W1J 6ER</w:t>
            </w:r>
          </w:p>
        </w:tc>
      </w:tr>
      <w:tr w:rsidR="00B96281" w:rsidRPr="00170081" w14:paraId="220A834E" w14:textId="77777777" w:rsidTr="001D03E8">
        <w:trPr>
          <w:trHeight w:val="383"/>
        </w:trPr>
        <w:tc>
          <w:tcPr>
            <w:tcW w:w="5000" w:type="pct"/>
            <w:tcBorders>
              <w:top w:val="nil"/>
              <w:left w:val="nil"/>
              <w:bottom w:val="nil"/>
              <w:right w:val="nil"/>
            </w:tcBorders>
          </w:tcPr>
          <w:p w14:paraId="39E1AF2F" w14:textId="77777777" w:rsidR="00B96281" w:rsidRPr="00170081" w:rsidRDefault="00B96281">
            <w:r w:rsidRPr="001D03E8">
              <w:rPr>
                <w:b/>
                <w:bCs/>
              </w:rPr>
              <w:t xml:space="preserve">Rakesh </w:t>
            </w:r>
            <w:proofErr w:type="spellStart"/>
            <w:r w:rsidRPr="001D03E8">
              <w:rPr>
                <w:b/>
                <w:bCs/>
              </w:rPr>
              <w:t>Majithia</w:t>
            </w:r>
            <w:proofErr w:type="spellEnd"/>
            <w:r w:rsidRPr="00170081">
              <w:t xml:space="preserve"> of </w:t>
            </w:r>
            <w:r w:rsidR="001D03E8">
              <w:t>Frond A, Villa 66, Palm Jumeriah, Dubai, UAE</w:t>
            </w:r>
          </w:p>
        </w:tc>
      </w:tr>
    </w:tbl>
    <w:p w14:paraId="085C0A07" w14:textId="77777777" w:rsidR="00DC6D61" w:rsidRPr="00DC6D61" w:rsidRDefault="00DC6D61">
      <w:r w:rsidRPr="00DC6D61">
        <w:br w:type="page"/>
      </w:r>
    </w:p>
    <w:p w14:paraId="4DF954FB" w14:textId="77777777" w:rsidR="00DC6D61" w:rsidRPr="00DC6D61" w:rsidRDefault="00DC6D61" w:rsidP="00DC6D61">
      <w:pPr>
        <w:pStyle w:val="Schedule"/>
        <w:rPr>
          <w:rFonts w:ascii="Calibri" w:hAnsi="Calibri"/>
        </w:rPr>
      </w:pPr>
      <w:bookmarkStart w:id="168" w:name="a452926"/>
      <w:bookmarkStart w:id="169" w:name="_Toc256000034"/>
      <w:r w:rsidRPr="00DC6D61">
        <w:rPr>
          <w:rFonts w:ascii="Calibri" w:hAnsi="Calibri"/>
        </w:rPr>
        <w:lastRenderedPageBreak/>
        <w:t>The Company</w:t>
      </w:r>
      <w:bookmarkEnd w:id="168"/>
      <w:bookmarkEnd w:id="169"/>
    </w:p>
    <w:p w14:paraId="713E01FD" w14:textId="77777777" w:rsidR="00DC6D61" w:rsidRPr="00DC6D61" w:rsidRDefault="00DC6D61" w:rsidP="00DC6D61">
      <w:pPr>
        <w:pStyle w:val="Part"/>
        <w:rPr>
          <w:szCs w:val="22"/>
        </w:rPr>
      </w:pPr>
      <w:bookmarkStart w:id="170" w:name="a437669"/>
      <w:bookmarkStart w:id="171" w:name="_Toc256000035"/>
      <w:proofErr w:type="gramStart"/>
      <w:r w:rsidRPr="00DC6D61">
        <w:rPr>
          <w:szCs w:val="22"/>
        </w:rPr>
        <w:t>Particulars of</w:t>
      </w:r>
      <w:proofErr w:type="gramEnd"/>
      <w:r w:rsidRPr="00DC6D61">
        <w:rPr>
          <w:szCs w:val="22"/>
        </w:rPr>
        <w:t xml:space="preserve"> the Company</w:t>
      </w:r>
      <w:bookmarkEnd w:id="170"/>
      <w:bookmarkEnd w:id="171"/>
    </w:p>
    <w:tbl>
      <w:tblPr>
        <w:tblW w:w="5000" w:type="pct"/>
        <w:tblLook w:val="04A0" w:firstRow="1" w:lastRow="0" w:firstColumn="1" w:lastColumn="0" w:noHBand="0" w:noVBand="1"/>
      </w:tblPr>
      <w:tblGrid>
        <w:gridCol w:w="4680"/>
        <w:gridCol w:w="4680"/>
      </w:tblGrid>
      <w:tr w:rsidR="00DC6D61" w:rsidRPr="00170081" w14:paraId="592DD585" w14:textId="77777777" w:rsidTr="00DC6D61">
        <w:tc>
          <w:tcPr>
            <w:tcW w:w="2500" w:type="pct"/>
            <w:tcBorders>
              <w:top w:val="nil"/>
              <w:left w:val="nil"/>
              <w:bottom w:val="nil"/>
              <w:right w:val="nil"/>
            </w:tcBorders>
          </w:tcPr>
          <w:p w14:paraId="72DF3AD2" w14:textId="77777777" w:rsidR="00DC6D61" w:rsidRPr="00170081" w:rsidRDefault="00DC6D61" w:rsidP="00DC6D61">
            <w:pPr>
              <w:pStyle w:val="Paragraph"/>
              <w:jc w:val="left"/>
              <w:rPr>
                <w:szCs w:val="22"/>
              </w:rPr>
            </w:pPr>
            <w:r w:rsidRPr="00170081">
              <w:rPr>
                <w:szCs w:val="22"/>
              </w:rPr>
              <w:t>Registered number:</w:t>
            </w:r>
          </w:p>
        </w:tc>
        <w:tc>
          <w:tcPr>
            <w:tcW w:w="2500" w:type="pct"/>
            <w:tcBorders>
              <w:top w:val="nil"/>
              <w:left w:val="nil"/>
              <w:bottom w:val="nil"/>
              <w:right w:val="nil"/>
            </w:tcBorders>
          </w:tcPr>
          <w:p w14:paraId="78E08A7D" w14:textId="77777777" w:rsidR="00DC6D61" w:rsidRPr="00170081" w:rsidRDefault="001D03E8" w:rsidP="00DC6D61">
            <w:pPr>
              <w:pStyle w:val="Paragraph"/>
              <w:jc w:val="left"/>
              <w:rPr>
                <w:szCs w:val="22"/>
              </w:rPr>
            </w:pPr>
            <w:r>
              <w:rPr>
                <w:szCs w:val="22"/>
              </w:rPr>
              <w:t>1874072</w:t>
            </w:r>
          </w:p>
        </w:tc>
      </w:tr>
      <w:tr w:rsidR="00DC6D61" w:rsidRPr="00170081" w14:paraId="77B0CBA8" w14:textId="77777777" w:rsidTr="00DC6D61">
        <w:tc>
          <w:tcPr>
            <w:tcW w:w="2500" w:type="pct"/>
            <w:tcBorders>
              <w:top w:val="nil"/>
              <w:left w:val="nil"/>
              <w:bottom w:val="nil"/>
              <w:right w:val="nil"/>
            </w:tcBorders>
          </w:tcPr>
          <w:p w14:paraId="4E652FC0" w14:textId="77777777" w:rsidR="00DC6D61" w:rsidRPr="00170081" w:rsidRDefault="00DC6D61" w:rsidP="00DC6D61">
            <w:pPr>
              <w:pStyle w:val="Paragraph"/>
              <w:jc w:val="left"/>
              <w:rPr>
                <w:szCs w:val="22"/>
              </w:rPr>
            </w:pPr>
            <w:r w:rsidRPr="00170081">
              <w:rPr>
                <w:szCs w:val="22"/>
              </w:rPr>
              <w:t>Status:</w:t>
            </w:r>
          </w:p>
        </w:tc>
        <w:tc>
          <w:tcPr>
            <w:tcW w:w="2500" w:type="pct"/>
            <w:tcBorders>
              <w:top w:val="nil"/>
              <w:left w:val="nil"/>
              <w:bottom w:val="nil"/>
              <w:right w:val="nil"/>
            </w:tcBorders>
          </w:tcPr>
          <w:p w14:paraId="1AE5A9D3" w14:textId="77777777" w:rsidR="00DC6D61" w:rsidRPr="00170081" w:rsidRDefault="00DC6D61" w:rsidP="0030286C">
            <w:pPr>
              <w:pStyle w:val="Paragraph"/>
              <w:jc w:val="left"/>
              <w:rPr>
                <w:szCs w:val="22"/>
              </w:rPr>
            </w:pPr>
            <w:r w:rsidRPr="00170081">
              <w:rPr>
                <w:szCs w:val="22"/>
              </w:rPr>
              <w:t xml:space="preserve">Private limited company </w:t>
            </w:r>
          </w:p>
        </w:tc>
      </w:tr>
      <w:tr w:rsidR="00DC6D61" w:rsidRPr="00170081" w14:paraId="3F936ECE" w14:textId="77777777" w:rsidTr="00DC6D61">
        <w:tc>
          <w:tcPr>
            <w:tcW w:w="2500" w:type="pct"/>
            <w:tcBorders>
              <w:top w:val="nil"/>
              <w:left w:val="nil"/>
              <w:bottom w:val="nil"/>
              <w:right w:val="nil"/>
            </w:tcBorders>
          </w:tcPr>
          <w:p w14:paraId="5481DB39" w14:textId="77777777" w:rsidR="00DC6D61" w:rsidRPr="00170081" w:rsidRDefault="00DC6D61" w:rsidP="00DC6D61">
            <w:pPr>
              <w:pStyle w:val="Paragraph"/>
              <w:jc w:val="left"/>
              <w:rPr>
                <w:szCs w:val="22"/>
              </w:rPr>
            </w:pPr>
            <w:r w:rsidRPr="00170081">
              <w:rPr>
                <w:szCs w:val="22"/>
              </w:rPr>
              <w:t>Registered office:</w:t>
            </w:r>
          </w:p>
        </w:tc>
        <w:tc>
          <w:tcPr>
            <w:tcW w:w="2500" w:type="pct"/>
            <w:tcBorders>
              <w:top w:val="nil"/>
              <w:left w:val="nil"/>
              <w:bottom w:val="nil"/>
              <w:right w:val="nil"/>
            </w:tcBorders>
          </w:tcPr>
          <w:p w14:paraId="14C408D4" w14:textId="77777777" w:rsidR="00DC6D61" w:rsidRPr="00170081" w:rsidRDefault="001D03E8" w:rsidP="00DC6D61">
            <w:pPr>
              <w:pStyle w:val="Paragraph"/>
              <w:jc w:val="left"/>
              <w:rPr>
                <w:szCs w:val="22"/>
              </w:rPr>
            </w:pPr>
            <w:r>
              <w:rPr>
                <w:szCs w:val="22"/>
              </w:rPr>
              <w:t>171 Main Street, Road Town, Tortola, VG1110</w:t>
            </w:r>
          </w:p>
        </w:tc>
      </w:tr>
      <w:tr w:rsidR="00DC6D61" w:rsidRPr="00170081" w14:paraId="1D3A64CB" w14:textId="77777777" w:rsidTr="00DC6D61">
        <w:tc>
          <w:tcPr>
            <w:tcW w:w="2500" w:type="pct"/>
            <w:tcBorders>
              <w:top w:val="nil"/>
              <w:left w:val="nil"/>
              <w:bottom w:val="nil"/>
              <w:right w:val="nil"/>
            </w:tcBorders>
          </w:tcPr>
          <w:p w14:paraId="160E9ABF" w14:textId="77777777" w:rsidR="00DC6D61" w:rsidRPr="00170081" w:rsidRDefault="00DC6D61" w:rsidP="00DC6D61">
            <w:pPr>
              <w:pStyle w:val="Paragraph"/>
              <w:jc w:val="left"/>
              <w:rPr>
                <w:szCs w:val="22"/>
              </w:rPr>
            </w:pPr>
            <w:r w:rsidRPr="00170081">
              <w:rPr>
                <w:szCs w:val="22"/>
              </w:rPr>
              <w:t>Directors:</w:t>
            </w:r>
          </w:p>
        </w:tc>
        <w:tc>
          <w:tcPr>
            <w:tcW w:w="2500" w:type="pct"/>
            <w:tcBorders>
              <w:top w:val="nil"/>
              <w:left w:val="nil"/>
              <w:bottom w:val="nil"/>
              <w:right w:val="nil"/>
            </w:tcBorders>
          </w:tcPr>
          <w:p w14:paraId="495356EC" w14:textId="77777777" w:rsidR="00DC6D61" w:rsidRPr="00170081" w:rsidRDefault="001D03E8" w:rsidP="00DC6D61">
            <w:pPr>
              <w:pStyle w:val="Paragraph"/>
              <w:jc w:val="left"/>
              <w:rPr>
                <w:szCs w:val="22"/>
              </w:rPr>
            </w:pPr>
            <w:r>
              <w:rPr>
                <w:szCs w:val="22"/>
              </w:rPr>
              <w:t xml:space="preserve">Rakesh </w:t>
            </w:r>
            <w:proofErr w:type="spellStart"/>
            <w:r>
              <w:rPr>
                <w:szCs w:val="22"/>
              </w:rPr>
              <w:t>Majithia</w:t>
            </w:r>
            <w:proofErr w:type="spellEnd"/>
          </w:p>
        </w:tc>
      </w:tr>
      <w:tr w:rsidR="00DC6D61" w:rsidRPr="00170081" w14:paraId="7D8F320C" w14:textId="77777777" w:rsidTr="00DC6D61">
        <w:tc>
          <w:tcPr>
            <w:tcW w:w="2500" w:type="pct"/>
            <w:tcBorders>
              <w:top w:val="nil"/>
              <w:left w:val="nil"/>
              <w:bottom w:val="nil"/>
              <w:right w:val="nil"/>
            </w:tcBorders>
          </w:tcPr>
          <w:p w14:paraId="6439770B" w14:textId="77777777" w:rsidR="00DC6D61" w:rsidRPr="00170081" w:rsidRDefault="00DC6D61" w:rsidP="00DC6D61">
            <w:pPr>
              <w:pStyle w:val="Paragraph"/>
              <w:jc w:val="left"/>
              <w:rPr>
                <w:szCs w:val="22"/>
              </w:rPr>
            </w:pPr>
            <w:r w:rsidRPr="00170081">
              <w:rPr>
                <w:szCs w:val="22"/>
              </w:rPr>
              <w:t>Accounting reference date:</w:t>
            </w:r>
          </w:p>
        </w:tc>
        <w:tc>
          <w:tcPr>
            <w:tcW w:w="2500" w:type="pct"/>
            <w:tcBorders>
              <w:top w:val="nil"/>
              <w:left w:val="nil"/>
              <w:bottom w:val="nil"/>
              <w:right w:val="nil"/>
            </w:tcBorders>
          </w:tcPr>
          <w:p w14:paraId="0B98BCC9" w14:textId="77777777" w:rsidR="00DC6D61" w:rsidRPr="00170081" w:rsidRDefault="001D03E8" w:rsidP="00DC6D61">
            <w:pPr>
              <w:pStyle w:val="Paragraph"/>
              <w:jc w:val="left"/>
              <w:rPr>
                <w:szCs w:val="22"/>
              </w:rPr>
            </w:pPr>
            <w:r>
              <w:rPr>
                <w:szCs w:val="22"/>
              </w:rPr>
              <w:t xml:space="preserve">31 </w:t>
            </w:r>
            <w:r w:rsidR="00B34B92">
              <w:rPr>
                <w:szCs w:val="22"/>
              </w:rPr>
              <w:t>December</w:t>
            </w:r>
          </w:p>
        </w:tc>
      </w:tr>
      <w:tr w:rsidR="00DC6D61" w:rsidRPr="00170081" w14:paraId="0D49B0F4" w14:textId="77777777" w:rsidTr="00DC6D61">
        <w:tc>
          <w:tcPr>
            <w:tcW w:w="2500" w:type="pct"/>
            <w:tcBorders>
              <w:top w:val="nil"/>
              <w:left w:val="nil"/>
              <w:bottom w:val="nil"/>
              <w:right w:val="nil"/>
            </w:tcBorders>
          </w:tcPr>
          <w:p w14:paraId="797FFE0D" w14:textId="77777777" w:rsidR="00DC6D61" w:rsidRPr="00170081" w:rsidRDefault="00DC6D61" w:rsidP="00DC6D61">
            <w:pPr>
              <w:pStyle w:val="Paragraph"/>
              <w:jc w:val="left"/>
              <w:rPr>
                <w:szCs w:val="22"/>
              </w:rPr>
            </w:pPr>
            <w:r w:rsidRPr="00170081">
              <w:rPr>
                <w:szCs w:val="22"/>
              </w:rPr>
              <w:t>Loans:</w:t>
            </w:r>
          </w:p>
        </w:tc>
        <w:tc>
          <w:tcPr>
            <w:tcW w:w="2500" w:type="pct"/>
            <w:tcBorders>
              <w:top w:val="nil"/>
              <w:left w:val="nil"/>
              <w:bottom w:val="nil"/>
              <w:right w:val="nil"/>
            </w:tcBorders>
          </w:tcPr>
          <w:p w14:paraId="3E423721" w14:textId="77777777" w:rsidR="00DC6D61" w:rsidRPr="00170081" w:rsidRDefault="001D03E8" w:rsidP="00DC6D61">
            <w:pPr>
              <w:pStyle w:val="Paragraph"/>
              <w:jc w:val="left"/>
              <w:rPr>
                <w:szCs w:val="22"/>
              </w:rPr>
            </w:pPr>
            <w:r>
              <w:rPr>
                <w:szCs w:val="22"/>
              </w:rPr>
              <w:t>None</w:t>
            </w:r>
          </w:p>
        </w:tc>
      </w:tr>
      <w:tr w:rsidR="00DC6D61" w:rsidRPr="00170081" w14:paraId="49A44288" w14:textId="77777777" w:rsidTr="00DC6D61">
        <w:tc>
          <w:tcPr>
            <w:tcW w:w="2500" w:type="pct"/>
            <w:tcBorders>
              <w:top w:val="nil"/>
              <w:left w:val="nil"/>
              <w:bottom w:val="nil"/>
              <w:right w:val="nil"/>
            </w:tcBorders>
          </w:tcPr>
          <w:p w14:paraId="5F162A73" w14:textId="77777777" w:rsidR="00DC6D61" w:rsidRPr="00170081" w:rsidRDefault="00DC6D61" w:rsidP="00DC6D61">
            <w:pPr>
              <w:pStyle w:val="Paragraph"/>
              <w:jc w:val="left"/>
              <w:rPr>
                <w:szCs w:val="22"/>
              </w:rPr>
            </w:pPr>
            <w:r w:rsidRPr="00170081">
              <w:rPr>
                <w:szCs w:val="22"/>
              </w:rPr>
              <w:t>Issued share capital:</w:t>
            </w:r>
          </w:p>
        </w:tc>
        <w:tc>
          <w:tcPr>
            <w:tcW w:w="2500" w:type="pct"/>
            <w:tcBorders>
              <w:top w:val="nil"/>
              <w:left w:val="nil"/>
              <w:bottom w:val="nil"/>
              <w:right w:val="nil"/>
            </w:tcBorders>
          </w:tcPr>
          <w:p w14:paraId="70676540" w14:textId="77777777" w:rsidR="00DC6D61" w:rsidRPr="00170081" w:rsidRDefault="00B34B92" w:rsidP="00DC6D61">
            <w:pPr>
              <w:pStyle w:val="Paragraph"/>
              <w:jc w:val="left"/>
              <w:rPr>
                <w:szCs w:val="22"/>
              </w:rPr>
            </w:pPr>
            <w:r>
              <w:rPr>
                <w:szCs w:val="22"/>
              </w:rPr>
              <w:t>2 Ordinary Shares</w:t>
            </w:r>
            <w:r w:rsidR="00DC6D61" w:rsidRPr="00170081">
              <w:rPr>
                <w:szCs w:val="22"/>
              </w:rPr>
              <w:t xml:space="preserve"> of </w:t>
            </w:r>
            <w:r>
              <w:rPr>
                <w:szCs w:val="22"/>
              </w:rPr>
              <w:t>$1</w:t>
            </w:r>
            <w:r w:rsidR="00DC6D61" w:rsidRPr="00170081">
              <w:rPr>
                <w:szCs w:val="22"/>
              </w:rPr>
              <w:t xml:space="preserve"> each.</w:t>
            </w:r>
          </w:p>
        </w:tc>
      </w:tr>
    </w:tbl>
    <w:p w14:paraId="3D994608" w14:textId="77777777" w:rsidR="00DC6D61" w:rsidRPr="00DC6D61" w:rsidRDefault="00DC6D61" w:rsidP="00DC6D61">
      <w:pPr>
        <w:pStyle w:val="Part"/>
        <w:rPr>
          <w:szCs w:val="22"/>
        </w:rPr>
      </w:pPr>
      <w:bookmarkStart w:id="172" w:name="a717441"/>
      <w:bookmarkStart w:id="173" w:name="_Toc256000036"/>
      <w:proofErr w:type="gramStart"/>
      <w:r w:rsidRPr="00DC6D61">
        <w:rPr>
          <w:szCs w:val="22"/>
        </w:rPr>
        <w:t>Particulars of</w:t>
      </w:r>
      <w:proofErr w:type="gramEnd"/>
      <w:r w:rsidRPr="00DC6D61">
        <w:rPr>
          <w:szCs w:val="22"/>
        </w:rPr>
        <w:t xml:space="preserve"> the </w:t>
      </w:r>
      <w:bookmarkEnd w:id="172"/>
      <w:bookmarkEnd w:id="173"/>
      <w:r w:rsidR="00386240">
        <w:rPr>
          <w:szCs w:val="22"/>
        </w:rPr>
        <w:t>Fine Holdings</w:t>
      </w:r>
    </w:p>
    <w:tbl>
      <w:tblPr>
        <w:tblW w:w="5000" w:type="pct"/>
        <w:tblLook w:val="04A0" w:firstRow="1" w:lastRow="0" w:firstColumn="1" w:lastColumn="0" w:noHBand="0" w:noVBand="1"/>
      </w:tblPr>
      <w:tblGrid>
        <w:gridCol w:w="4680"/>
        <w:gridCol w:w="4680"/>
      </w:tblGrid>
      <w:tr w:rsidR="00DC6D61" w:rsidRPr="00170081" w14:paraId="7577AB3F" w14:textId="77777777" w:rsidTr="00DC6D61">
        <w:tc>
          <w:tcPr>
            <w:tcW w:w="2500" w:type="pct"/>
            <w:tcBorders>
              <w:top w:val="nil"/>
              <w:left w:val="nil"/>
              <w:bottom w:val="nil"/>
              <w:right w:val="nil"/>
            </w:tcBorders>
          </w:tcPr>
          <w:p w14:paraId="3C206697" w14:textId="77777777" w:rsidR="00DC6D61" w:rsidRPr="00170081" w:rsidRDefault="00DC6D61" w:rsidP="00DC6D61">
            <w:pPr>
              <w:pStyle w:val="Paragraph"/>
              <w:jc w:val="left"/>
              <w:rPr>
                <w:szCs w:val="22"/>
              </w:rPr>
            </w:pPr>
            <w:r w:rsidRPr="00170081">
              <w:rPr>
                <w:szCs w:val="22"/>
              </w:rPr>
              <w:t>Registered number:</w:t>
            </w:r>
          </w:p>
        </w:tc>
        <w:tc>
          <w:tcPr>
            <w:tcW w:w="2500" w:type="pct"/>
            <w:tcBorders>
              <w:top w:val="nil"/>
              <w:left w:val="nil"/>
              <w:bottom w:val="nil"/>
              <w:right w:val="nil"/>
            </w:tcBorders>
          </w:tcPr>
          <w:p w14:paraId="420C85D9" w14:textId="77777777" w:rsidR="00DC6D61" w:rsidRPr="00170081" w:rsidRDefault="004521CF" w:rsidP="00DC6D61">
            <w:pPr>
              <w:pStyle w:val="Paragraph"/>
              <w:jc w:val="left"/>
              <w:rPr>
                <w:szCs w:val="22"/>
              </w:rPr>
            </w:pPr>
            <w:r>
              <w:rPr>
                <w:szCs w:val="22"/>
              </w:rPr>
              <w:t>B236308</w:t>
            </w:r>
          </w:p>
        </w:tc>
      </w:tr>
      <w:tr w:rsidR="00DC6D61" w:rsidRPr="00170081" w14:paraId="3AF26DDE" w14:textId="77777777" w:rsidTr="00DC6D61">
        <w:tc>
          <w:tcPr>
            <w:tcW w:w="2500" w:type="pct"/>
            <w:tcBorders>
              <w:top w:val="nil"/>
              <w:left w:val="nil"/>
              <w:bottom w:val="nil"/>
              <w:right w:val="nil"/>
            </w:tcBorders>
          </w:tcPr>
          <w:p w14:paraId="0AF192CA" w14:textId="77777777" w:rsidR="00DC6D61" w:rsidRPr="00170081" w:rsidRDefault="00DC6D61" w:rsidP="00DC6D61">
            <w:pPr>
              <w:pStyle w:val="Paragraph"/>
              <w:jc w:val="left"/>
              <w:rPr>
                <w:szCs w:val="22"/>
              </w:rPr>
            </w:pPr>
            <w:r w:rsidRPr="00170081">
              <w:rPr>
                <w:szCs w:val="22"/>
              </w:rPr>
              <w:t>Status:</w:t>
            </w:r>
          </w:p>
        </w:tc>
        <w:tc>
          <w:tcPr>
            <w:tcW w:w="2500" w:type="pct"/>
            <w:tcBorders>
              <w:top w:val="nil"/>
              <w:left w:val="nil"/>
              <w:bottom w:val="nil"/>
              <w:right w:val="nil"/>
            </w:tcBorders>
          </w:tcPr>
          <w:p w14:paraId="70990F72" w14:textId="77777777" w:rsidR="00DC6D61" w:rsidRPr="00170081" w:rsidRDefault="00DC6D61" w:rsidP="00370FFC">
            <w:pPr>
              <w:pStyle w:val="Paragraph"/>
              <w:jc w:val="left"/>
              <w:rPr>
                <w:szCs w:val="22"/>
              </w:rPr>
            </w:pPr>
            <w:r w:rsidRPr="00170081">
              <w:rPr>
                <w:szCs w:val="22"/>
              </w:rPr>
              <w:t xml:space="preserve">Private limited company </w:t>
            </w:r>
          </w:p>
        </w:tc>
      </w:tr>
      <w:tr w:rsidR="00DC6D61" w:rsidRPr="00170081" w14:paraId="3D005215" w14:textId="77777777" w:rsidTr="00DC6D61">
        <w:tc>
          <w:tcPr>
            <w:tcW w:w="2500" w:type="pct"/>
            <w:tcBorders>
              <w:top w:val="nil"/>
              <w:left w:val="nil"/>
              <w:bottom w:val="nil"/>
              <w:right w:val="nil"/>
            </w:tcBorders>
          </w:tcPr>
          <w:p w14:paraId="016DB565" w14:textId="77777777" w:rsidR="00DC6D61" w:rsidRPr="00170081" w:rsidRDefault="00DC6D61" w:rsidP="00DC6D61">
            <w:pPr>
              <w:pStyle w:val="Paragraph"/>
              <w:jc w:val="left"/>
              <w:rPr>
                <w:szCs w:val="22"/>
              </w:rPr>
            </w:pPr>
            <w:r w:rsidRPr="00170081">
              <w:rPr>
                <w:szCs w:val="22"/>
              </w:rPr>
              <w:t>Registered office:</w:t>
            </w:r>
          </w:p>
        </w:tc>
        <w:tc>
          <w:tcPr>
            <w:tcW w:w="2500" w:type="pct"/>
            <w:tcBorders>
              <w:top w:val="nil"/>
              <w:left w:val="nil"/>
              <w:bottom w:val="nil"/>
              <w:right w:val="nil"/>
            </w:tcBorders>
          </w:tcPr>
          <w:p w14:paraId="68D48BB3" w14:textId="77777777" w:rsidR="00DC6D61" w:rsidRPr="00170081" w:rsidRDefault="00B34B92" w:rsidP="00DC6D61">
            <w:pPr>
              <w:pStyle w:val="Paragraph"/>
              <w:jc w:val="left"/>
              <w:rPr>
                <w:szCs w:val="22"/>
              </w:rPr>
            </w:pPr>
            <w:r>
              <w:rPr>
                <w:szCs w:val="22"/>
              </w:rPr>
              <w:t xml:space="preserve">16A, Avenue de la </w:t>
            </w:r>
            <w:proofErr w:type="spellStart"/>
            <w:r>
              <w:rPr>
                <w:szCs w:val="22"/>
              </w:rPr>
              <w:t>Liberte</w:t>
            </w:r>
            <w:proofErr w:type="spellEnd"/>
            <w:r>
              <w:rPr>
                <w:szCs w:val="22"/>
              </w:rPr>
              <w:t>, L-1930, Luxembourg</w:t>
            </w:r>
          </w:p>
        </w:tc>
      </w:tr>
      <w:tr w:rsidR="00DC6D61" w:rsidRPr="00170081" w14:paraId="338A979F" w14:textId="77777777" w:rsidTr="00DC6D61">
        <w:tc>
          <w:tcPr>
            <w:tcW w:w="2500" w:type="pct"/>
            <w:tcBorders>
              <w:top w:val="nil"/>
              <w:left w:val="nil"/>
              <w:bottom w:val="nil"/>
              <w:right w:val="nil"/>
            </w:tcBorders>
          </w:tcPr>
          <w:p w14:paraId="5059BED4" w14:textId="77777777" w:rsidR="00DC6D61" w:rsidRPr="00170081" w:rsidRDefault="00DC6D61" w:rsidP="00DC6D61">
            <w:pPr>
              <w:pStyle w:val="Paragraph"/>
              <w:jc w:val="left"/>
              <w:rPr>
                <w:szCs w:val="22"/>
              </w:rPr>
            </w:pPr>
            <w:r w:rsidRPr="00170081">
              <w:rPr>
                <w:szCs w:val="22"/>
              </w:rPr>
              <w:t>Directors:</w:t>
            </w:r>
          </w:p>
        </w:tc>
        <w:tc>
          <w:tcPr>
            <w:tcW w:w="2500" w:type="pct"/>
            <w:tcBorders>
              <w:top w:val="nil"/>
              <w:left w:val="nil"/>
              <w:bottom w:val="nil"/>
              <w:right w:val="nil"/>
            </w:tcBorders>
          </w:tcPr>
          <w:p w14:paraId="1DFAA4A2" w14:textId="77777777" w:rsidR="00DC6D61" w:rsidRPr="00B34B92" w:rsidRDefault="004521CF" w:rsidP="00DC6D61">
            <w:pPr>
              <w:pStyle w:val="Paragraph"/>
              <w:jc w:val="left"/>
              <w:rPr>
                <w:szCs w:val="22"/>
                <w:highlight w:val="yellow"/>
              </w:rPr>
            </w:pPr>
            <w:r w:rsidRPr="004521CF">
              <w:rPr>
                <w:szCs w:val="22"/>
              </w:rPr>
              <w:t>Philippe Richelle</w:t>
            </w:r>
          </w:p>
        </w:tc>
      </w:tr>
      <w:tr w:rsidR="00DC6D61" w:rsidRPr="00170081" w14:paraId="6F467C62" w14:textId="77777777" w:rsidTr="00DC6D61">
        <w:tc>
          <w:tcPr>
            <w:tcW w:w="2500" w:type="pct"/>
            <w:tcBorders>
              <w:top w:val="nil"/>
              <w:left w:val="nil"/>
              <w:bottom w:val="nil"/>
              <w:right w:val="nil"/>
            </w:tcBorders>
          </w:tcPr>
          <w:p w14:paraId="66E76E26" w14:textId="77777777" w:rsidR="00DC6D61" w:rsidRPr="00170081" w:rsidRDefault="00DC6D61" w:rsidP="00DC6D61">
            <w:pPr>
              <w:pStyle w:val="Paragraph"/>
              <w:jc w:val="left"/>
              <w:rPr>
                <w:szCs w:val="22"/>
              </w:rPr>
            </w:pPr>
          </w:p>
        </w:tc>
        <w:tc>
          <w:tcPr>
            <w:tcW w:w="2500" w:type="pct"/>
            <w:tcBorders>
              <w:top w:val="nil"/>
              <w:left w:val="nil"/>
              <w:bottom w:val="nil"/>
              <w:right w:val="nil"/>
            </w:tcBorders>
          </w:tcPr>
          <w:p w14:paraId="57799B45" w14:textId="77777777" w:rsidR="00DC6D61" w:rsidRPr="00B34B92" w:rsidRDefault="00DC6D61" w:rsidP="00DC6D61">
            <w:pPr>
              <w:pStyle w:val="Paragraph"/>
              <w:jc w:val="left"/>
              <w:rPr>
                <w:szCs w:val="22"/>
                <w:highlight w:val="yellow"/>
              </w:rPr>
            </w:pPr>
          </w:p>
        </w:tc>
      </w:tr>
      <w:tr w:rsidR="00DC6D61" w:rsidRPr="00170081" w14:paraId="47B3218C" w14:textId="77777777" w:rsidTr="00DC6D61">
        <w:tc>
          <w:tcPr>
            <w:tcW w:w="2500" w:type="pct"/>
            <w:tcBorders>
              <w:top w:val="nil"/>
              <w:left w:val="nil"/>
              <w:bottom w:val="nil"/>
              <w:right w:val="nil"/>
            </w:tcBorders>
          </w:tcPr>
          <w:p w14:paraId="7E1E9F07" w14:textId="77777777" w:rsidR="00DC6D61" w:rsidRPr="00170081" w:rsidRDefault="00DC6D61" w:rsidP="00DC6D61">
            <w:pPr>
              <w:pStyle w:val="Paragraph"/>
              <w:jc w:val="left"/>
              <w:rPr>
                <w:szCs w:val="22"/>
              </w:rPr>
            </w:pPr>
            <w:r w:rsidRPr="00170081">
              <w:rPr>
                <w:szCs w:val="22"/>
              </w:rPr>
              <w:t>Accounting reference date:</w:t>
            </w:r>
          </w:p>
        </w:tc>
        <w:tc>
          <w:tcPr>
            <w:tcW w:w="2500" w:type="pct"/>
            <w:tcBorders>
              <w:top w:val="nil"/>
              <w:left w:val="nil"/>
              <w:bottom w:val="nil"/>
              <w:right w:val="nil"/>
            </w:tcBorders>
          </w:tcPr>
          <w:p w14:paraId="77C7D13E" w14:textId="77777777" w:rsidR="00DC6D61" w:rsidRPr="004521CF" w:rsidRDefault="004521CF" w:rsidP="00DC6D61">
            <w:pPr>
              <w:pStyle w:val="Paragraph"/>
              <w:jc w:val="left"/>
              <w:rPr>
                <w:szCs w:val="22"/>
              </w:rPr>
            </w:pPr>
            <w:r w:rsidRPr="004521CF">
              <w:rPr>
                <w:szCs w:val="22"/>
              </w:rPr>
              <w:t>31 December</w:t>
            </w:r>
          </w:p>
        </w:tc>
      </w:tr>
      <w:tr w:rsidR="00DC6D61" w:rsidRPr="00170081" w14:paraId="048E501C" w14:textId="77777777" w:rsidTr="00DC6D61">
        <w:tc>
          <w:tcPr>
            <w:tcW w:w="2500" w:type="pct"/>
            <w:tcBorders>
              <w:top w:val="nil"/>
              <w:left w:val="nil"/>
              <w:bottom w:val="nil"/>
              <w:right w:val="nil"/>
            </w:tcBorders>
          </w:tcPr>
          <w:p w14:paraId="3E1AD299" w14:textId="77777777" w:rsidR="00DC6D61" w:rsidRPr="00170081" w:rsidRDefault="00DC6D61" w:rsidP="00DC6D61">
            <w:pPr>
              <w:pStyle w:val="Paragraph"/>
              <w:jc w:val="left"/>
              <w:rPr>
                <w:szCs w:val="22"/>
              </w:rPr>
            </w:pPr>
            <w:r w:rsidRPr="00170081">
              <w:rPr>
                <w:szCs w:val="22"/>
              </w:rPr>
              <w:t>Loans:</w:t>
            </w:r>
          </w:p>
        </w:tc>
        <w:tc>
          <w:tcPr>
            <w:tcW w:w="2500" w:type="pct"/>
            <w:tcBorders>
              <w:top w:val="nil"/>
              <w:left w:val="nil"/>
              <w:bottom w:val="nil"/>
              <w:right w:val="nil"/>
            </w:tcBorders>
          </w:tcPr>
          <w:p w14:paraId="260E1026" w14:textId="77777777" w:rsidR="00DC6D61" w:rsidRPr="00170081" w:rsidRDefault="00B34B92" w:rsidP="00DC6D61">
            <w:pPr>
              <w:pStyle w:val="Paragraph"/>
              <w:jc w:val="left"/>
              <w:rPr>
                <w:szCs w:val="22"/>
              </w:rPr>
            </w:pPr>
            <w:r>
              <w:rPr>
                <w:szCs w:val="22"/>
              </w:rPr>
              <w:t>None</w:t>
            </w:r>
          </w:p>
        </w:tc>
      </w:tr>
      <w:tr w:rsidR="00DC6D61" w:rsidRPr="00170081" w14:paraId="6DA4AE98" w14:textId="77777777" w:rsidTr="00DC6D61">
        <w:tc>
          <w:tcPr>
            <w:tcW w:w="2500" w:type="pct"/>
            <w:tcBorders>
              <w:top w:val="nil"/>
              <w:left w:val="nil"/>
              <w:bottom w:val="nil"/>
              <w:right w:val="nil"/>
            </w:tcBorders>
          </w:tcPr>
          <w:p w14:paraId="62A3EE87" w14:textId="77777777" w:rsidR="00DC6D61" w:rsidRPr="00170081" w:rsidRDefault="00DC6D61" w:rsidP="00DC6D61">
            <w:pPr>
              <w:pStyle w:val="Paragraph"/>
              <w:jc w:val="left"/>
              <w:rPr>
                <w:szCs w:val="22"/>
              </w:rPr>
            </w:pPr>
            <w:r w:rsidRPr="00170081">
              <w:rPr>
                <w:szCs w:val="22"/>
              </w:rPr>
              <w:t>Charges:</w:t>
            </w:r>
          </w:p>
        </w:tc>
        <w:tc>
          <w:tcPr>
            <w:tcW w:w="2500" w:type="pct"/>
            <w:tcBorders>
              <w:top w:val="nil"/>
              <w:left w:val="nil"/>
              <w:bottom w:val="nil"/>
              <w:right w:val="nil"/>
            </w:tcBorders>
          </w:tcPr>
          <w:p w14:paraId="46029F43" w14:textId="77777777" w:rsidR="00DC6D61" w:rsidRPr="00170081" w:rsidRDefault="00B34B92" w:rsidP="00DC6D61">
            <w:pPr>
              <w:pStyle w:val="Paragraph"/>
              <w:jc w:val="left"/>
              <w:rPr>
                <w:szCs w:val="22"/>
              </w:rPr>
            </w:pPr>
            <w:r>
              <w:rPr>
                <w:szCs w:val="22"/>
              </w:rPr>
              <w:t>None</w:t>
            </w:r>
          </w:p>
        </w:tc>
      </w:tr>
      <w:tr w:rsidR="00DC6D61" w:rsidRPr="00170081" w14:paraId="56705371" w14:textId="77777777" w:rsidTr="00DC6D61">
        <w:tc>
          <w:tcPr>
            <w:tcW w:w="2500" w:type="pct"/>
            <w:tcBorders>
              <w:top w:val="nil"/>
              <w:left w:val="nil"/>
              <w:bottom w:val="nil"/>
              <w:right w:val="nil"/>
            </w:tcBorders>
          </w:tcPr>
          <w:p w14:paraId="61CAF494" w14:textId="77777777" w:rsidR="00DC6D61" w:rsidRPr="00170081" w:rsidRDefault="00DC6D61" w:rsidP="00DC6D61">
            <w:pPr>
              <w:pStyle w:val="Paragraph"/>
              <w:jc w:val="left"/>
              <w:rPr>
                <w:szCs w:val="22"/>
              </w:rPr>
            </w:pPr>
            <w:r w:rsidRPr="00170081">
              <w:rPr>
                <w:szCs w:val="22"/>
              </w:rPr>
              <w:t>Bankers:</w:t>
            </w:r>
          </w:p>
        </w:tc>
        <w:tc>
          <w:tcPr>
            <w:tcW w:w="2500" w:type="pct"/>
            <w:tcBorders>
              <w:top w:val="nil"/>
              <w:left w:val="nil"/>
              <w:bottom w:val="nil"/>
              <w:right w:val="nil"/>
            </w:tcBorders>
          </w:tcPr>
          <w:p w14:paraId="4215B93E" w14:textId="77777777" w:rsidR="00DC6D61" w:rsidRPr="00B34B92" w:rsidRDefault="004521CF" w:rsidP="00DC6D61">
            <w:pPr>
              <w:pStyle w:val="Paragraph"/>
              <w:jc w:val="left"/>
              <w:rPr>
                <w:szCs w:val="22"/>
                <w:highlight w:val="yellow"/>
              </w:rPr>
            </w:pPr>
            <w:r w:rsidRPr="004521CF">
              <w:rPr>
                <w:szCs w:val="22"/>
              </w:rPr>
              <w:t>BPER Luxembourg S.A.</w:t>
            </w:r>
          </w:p>
        </w:tc>
      </w:tr>
      <w:tr w:rsidR="00DC6D61" w:rsidRPr="00170081" w14:paraId="4B49E266" w14:textId="77777777" w:rsidTr="00DC6D61">
        <w:tc>
          <w:tcPr>
            <w:tcW w:w="2500" w:type="pct"/>
            <w:tcBorders>
              <w:top w:val="nil"/>
              <w:left w:val="nil"/>
              <w:bottom w:val="nil"/>
              <w:right w:val="nil"/>
            </w:tcBorders>
          </w:tcPr>
          <w:p w14:paraId="2E3E00AD" w14:textId="77777777" w:rsidR="00DC6D61" w:rsidRPr="00170081" w:rsidRDefault="00DC6D61" w:rsidP="00DC6D61">
            <w:pPr>
              <w:pStyle w:val="Paragraph"/>
              <w:jc w:val="left"/>
              <w:rPr>
                <w:szCs w:val="22"/>
              </w:rPr>
            </w:pPr>
            <w:r w:rsidRPr="00170081">
              <w:rPr>
                <w:szCs w:val="22"/>
              </w:rPr>
              <w:t>[Auditors:]</w:t>
            </w:r>
          </w:p>
        </w:tc>
        <w:tc>
          <w:tcPr>
            <w:tcW w:w="2500" w:type="pct"/>
            <w:tcBorders>
              <w:top w:val="nil"/>
              <w:left w:val="nil"/>
              <w:bottom w:val="nil"/>
              <w:right w:val="nil"/>
            </w:tcBorders>
          </w:tcPr>
          <w:p w14:paraId="1BACB289" w14:textId="77777777" w:rsidR="00DC6D61" w:rsidRPr="00B34B92" w:rsidRDefault="004521CF" w:rsidP="00DC6D61">
            <w:pPr>
              <w:pStyle w:val="Paragraph"/>
              <w:jc w:val="left"/>
              <w:rPr>
                <w:szCs w:val="22"/>
                <w:highlight w:val="yellow"/>
              </w:rPr>
            </w:pPr>
            <w:r w:rsidRPr="004521CF">
              <w:rPr>
                <w:szCs w:val="22"/>
              </w:rPr>
              <w:t>To be confirmed</w:t>
            </w:r>
          </w:p>
        </w:tc>
      </w:tr>
      <w:tr w:rsidR="00DC6D61" w:rsidRPr="00170081" w14:paraId="73510633" w14:textId="77777777" w:rsidTr="00DC6D61">
        <w:tc>
          <w:tcPr>
            <w:tcW w:w="2500" w:type="pct"/>
            <w:tcBorders>
              <w:top w:val="nil"/>
              <w:left w:val="nil"/>
              <w:bottom w:val="nil"/>
              <w:right w:val="nil"/>
            </w:tcBorders>
          </w:tcPr>
          <w:p w14:paraId="6C7F3878" w14:textId="77777777" w:rsidR="00DC6D61" w:rsidRPr="00170081" w:rsidRDefault="00DC6D61" w:rsidP="00DC6D61">
            <w:pPr>
              <w:pStyle w:val="Paragraph"/>
              <w:jc w:val="left"/>
              <w:rPr>
                <w:szCs w:val="22"/>
              </w:rPr>
            </w:pPr>
            <w:r w:rsidRPr="00170081">
              <w:rPr>
                <w:szCs w:val="22"/>
              </w:rPr>
              <w:t>Issued share capital:</w:t>
            </w:r>
          </w:p>
        </w:tc>
        <w:tc>
          <w:tcPr>
            <w:tcW w:w="2500" w:type="pct"/>
            <w:tcBorders>
              <w:top w:val="nil"/>
              <w:left w:val="nil"/>
              <w:bottom w:val="nil"/>
              <w:right w:val="nil"/>
            </w:tcBorders>
          </w:tcPr>
          <w:p w14:paraId="67A6567E" w14:textId="77777777" w:rsidR="00DC6D61" w:rsidRPr="00170081" w:rsidRDefault="00B34B92" w:rsidP="00DC6D61">
            <w:pPr>
              <w:pStyle w:val="Paragraph"/>
              <w:jc w:val="left"/>
              <w:rPr>
                <w:szCs w:val="22"/>
              </w:rPr>
            </w:pPr>
            <w:r>
              <w:rPr>
                <w:szCs w:val="22"/>
              </w:rPr>
              <w:t>12,000 Ordinary Shares €1</w:t>
            </w:r>
            <w:r w:rsidR="00DC6D61" w:rsidRPr="00170081">
              <w:rPr>
                <w:szCs w:val="22"/>
              </w:rPr>
              <w:t xml:space="preserve"> each</w:t>
            </w:r>
            <w:r>
              <w:rPr>
                <w:szCs w:val="22"/>
              </w:rPr>
              <w:t>; 12,000 Class A Tracking Shares €1</w:t>
            </w:r>
            <w:r w:rsidRPr="00170081">
              <w:rPr>
                <w:szCs w:val="22"/>
              </w:rPr>
              <w:t xml:space="preserve"> each</w:t>
            </w:r>
            <w:r>
              <w:rPr>
                <w:szCs w:val="22"/>
              </w:rPr>
              <w:t>; 12,000 Class B Tracking Shares €1</w:t>
            </w:r>
            <w:r w:rsidRPr="00170081">
              <w:rPr>
                <w:szCs w:val="22"/>
              </w:rPr>
              <w:t xml:space="preserve"> each</w:t>
            </w:r>
          </w:p>
        </w:tc>
      </w:tr>
    </w:tbl>
    <w:p w14:paraId="0667B7FC" w14:textId="77777777" w:rsidR="00370FFC" w:rsidRDefault="00370FFC"/>
    <w:p w14:paraId="5409EFEC" w14:textId="77777777" w:rsidR="00370FFC" w:rsidRDefault="00370FFC" w:rsidP="00630B78">
      <w:pPr>
        <w:pStyle w:val="Part"/>
        <w:numPr>
          <w:ilvl w:val="0"/>
          <w:numId w:val="0"/>
        </w:numPr>
      </w:pPr>
      <w:proofErr w:type="gramStart"/>
      <w:r w:rsidRPr="00DC6D61">
        <w:rPr>
          <w:szCs w:val="22"/>
        </w:rPr>
        <w:t>Particulars of</w:t>
      </w:r>
      <w:proofErr w:type="gramEnd"/>
      <w:r w:rsidRPr="00DC6D61">
        <w:rPr>
          <w:szCs w:val="22"/>
        </w:rPr>
        <w:t xml:space="preserve"> the </w:t>
      </w:r>
      <w:r>
        <w:rPr>
          <w:szCs w:val="22"/>
        </w:rPr>
        <w:t>Glacier Motion</w:t>
      </w:r>
      <w:r w:rsidR="00386240">
        <w:rPr>
          <w:szCs w:val="22"/>
        </w:rPr>
        <w:t xml:space="preserve"> S.A.</w:t>
      </w:r>
    </w:p>
    <w:tbl>
      <w:tblPr>
        <w:tblW w:w="5000" w:type="pct"/>
        <w:tblLook w:val="04A0" w:firstRow="1" w:lastRow="0" w:firstColumn="1" w:lastColumn="0" w:noHBand="0" w:noVBand="1"/>
      </w:tblPr>
      <w:tblGrid>
        <w:gridCol w:w="4680"/>
        <w:gridCol w:w="4680"/>
      </w:tblGrid>
      <w:tr w:rsidR="00370FFC" w:rsidRPr="00170081" w14:paraId="260CE00B" w14:textId="77777777" w:rsidTr="00B6668E">
        <w:tc>
          <w:tcPr>
            <w:tcW w:w="2500" w:type="pct"/>
            <w:tcBorders>
              <w:top w:val="nil"/>
              <w:left w:val="nil"/>
              <w:bottom w:val="nil"/>
              <w:right w:val="nil"/>
            </w:tcBorders>
          </w:tcPr>
          <w:p w14:paraId="1C46257A" w14:textId="77777777" w:rsidR="00370FFC" w:rsidRPr="00170081" w:rsidRDefault="00370FFC" w:rsidP="00B6668E">
            <w:pPr>
              <w:pStyle w:val="Paragraph"/>
              <w:jc w:val="left"/>
              <w:rPr>
                <w:szCs w:val="22"/>
              </w:rPr>
            </w:pPr>
            <w:r w:rsidRPr="00170081">
              <w:rPr>
                <w:szCs w:val="22"/>
              </w:rPr>
              <w:t>Registered number:</w:t>
            </w:r>
          </w:p>
        </w:tc>
        <w:tc>
          <w:tcPr>
            <w:tcW w:w="2500" w:type="pct"/>
            <w:tcBorders>
              <w:top w:val="nil"/>
              <w:left w:val="nil"/>
              <w:bottom w:val="nil"/>
              <w:right w:val="nil"/>
            </w:tcBorders>
          </w:tcPr>
          <w:p w14:paraId="4A186CA5" w14:textId="77777777" w:rsidR="00370FFC" w:rsidRPr="00170081" w:rsidRDefault="00B34B92" w:rsidP="00B6668E">
            <w:pPr>
              <w:pStyle w:val="Paragraph"/>
              <w:jc w:val="left"/>
              <w:rPr>
                <w:szCs w:val="22"/>
              </w:rPr>
            </w:pPr>
            <w:r>
              <w:rPr>
                <w:szCs w:val="22"/>
              </w:rPr>
              <w:t>515156728</w:t>
            </w:r>
          </w:p>
        </w:tc>
      </w:tr>
      <w:tr w:rsidR="00370FFC" w:rsidRPr="00170081" w14:paraId="04498683" w14:textId="77777777" w:rsidTr="00B6668E">
        <w:tc>
          <w:tcPr>
            <w:tcW w:w="2500" w:type="pct"/>
            <w:tcBorders>
              <w:top w:val="nil"/>
              <w:left w:val="nil"/>
              <w:bottom w:val="nil"/>
              <w:right w:val="nil"/>
            </w:tcBorders>
          </w:tcPr>
          <w:p w14:paraId="56FBC143" w14:textId="77777777" w:rsidR="00370FFC" w:rsidRPr="00170081" w:rsidRDefault="00370FFC" w:rsidP="00B6668E">
            <w:pPr>
              <w:pStyle w:val="Paragraph"/>
              <w:jc w:val="left"/>
              <w:rPr>
                <w:szCs w:val="22"/>
              </w:rPr>
            </w:pPr>
            <w:r w:rsidRPr="00170081">
              <w:rPr>
                <w:szCs w:val="22"/>
              </w:rPr>
              <w:t>Status:</w:t>
            </w:r>
          </w:p>
        </w:tc>
        <w:tc>
          <w:tcPr>
            <w:tcW w:w="2500" w:type="pct"/>
            <w:tcBorders>
              <w:top w:val="nil"/>
              <w:left w:val="nil"/>
              <w:bottom w:val="nil"/>
              <w:right w:val="nil"/>
            </w:tcBorders>
          </w:tcPr>
          <w:p w14:paraId="13321B2F" w14:textId="77777777" w:rsidR="00370FFC" w:rsidRPr="00170081" w:rsidRDefault="00370FFC" w:rsidP="00370FFC">
            <w:pPr>
              <w:pStyle w:val="Paragraph"/>
              <w:jc w:val="left"/>
              <w:rPr>
                <w:szCs w:val="22"/>
              </w:rPr>
            </w:pPr>
            <w:r w:rsidRPr="00170081">
              <w:rPr>
                <w:szCs w:val="22"/>
              </w:rPr>
              <w:t xml:space="preserve">Private limited company </w:t>
            </w:r>
          </w:p>
        </w:tc>
      </w:tr>
      <w:tr w:rsidR="00370FFC" w:rsidRPr="00170081" w14:paraId="7364B44B" w14:textId="77777777" w:rsidTr="00B6668E">
        <w:tc>
          <w:tcPr>
            <w:tcW w:w="2500" w:type="pct"/>
            <w:tcBorders>
              <w:top w:val="nil"/>
              <w:left w:val="nil"/>
              <w:bottom w:val="nil"/>
              <w:right w:val="nil"/>
            </w:tcBorders>
          </w:tcPr>
          <w:p w14:paraId="13B9F80E" w14:textId="77777777" w:rsidR="00370FFC" w:rsidRPr="00170081" w:rsidRDefault="00370FFC" w:rsidP="00B6668E">
            <w:pPr>
              <w:pStyle w:val="Paragraph"/>
              <w:jc w:val="left"/>
              <w:rPr>
                <w:szCs w:val="22"/>
              </w:rPr>
            </w:pPr>
            <w:r w:rsidRPr="00170081">
              <w:rPr>
                <w:szCs w:val="22"/>
              </w:rPr>
              <w:t>Registered office:</w:t>
            </w:r>
          </w:p>
        </w:tc>
        <w:tc>
          <w:tcPr>
            <w:tcW w:w="2500" w:type="pct"/>
            <w:tcBorders>
              <w:top w:val="nil"/>
              <w:left w:val="nil"/>
              <w:bottom w:val="nil"/>
              <w:right w:val="nil"/>
            </w:tcBorders>
          </w:tcPr>
          <w:p w14:paraId="606DE7DB" w14:textId="77777777" w:rsidR="00370FFC" w:rsidRPr="00170081" w:rsidRDefault="00B34B92" w:rsidP="00B6668E">
            <w:pPr>
              <w:pStyle w:val="Paragraph"/>
              <w:jc w:val="left"/>
              <w:rPr>
                <w:szCs w:val="22"/>
              </w:rPr>
            </w:pPr>
            <w:r w:rsidRPr="00B34B92">
              <w:rPr>
                <w:szCs w:val="22"/>
              </w:rPr>
              <w:t xml:space="preserve">Avenida Elias </w:t>
            </w:r>
            <w:proofErr w:type="spellStart"/>
            <w:r w:rsidRPr="00B34B92">
              <w:rPr>
                <w:szCs w:val="22"/>
              </w:rPr>
              <w:t>Garcias</w:t>
            </w:r>
            <w:proofErr w:type="spellEnd"/>
            <w:r w:rsidRPr="00B34B92">
              <w:rPr>
                <w:szCs w:val="22"/>
              </w:rPr>
              <w:t>, 91,</w:t>
            </w:r>
            <w:proofErr w:type="gramStart"/>
            <w:r w:rsidRPr="00B34B92">
              <w:rPr>
                <w:szCs w:val="22"/>
              </w:rPr>
              <w:t>1.°</w:t>
            </w:r>
            <w:proofErr w:type="gramEnd"/>
            <w:r w:rsidRPr="00B34B92">
              <w:rPr>
                <w:szCs w:val="22"/>
              </w:rPr>
              <w:t xml:space="preserve">, </w:t>
            </w:r>
            <w:proofErr w:type="spellStart"/>
            <w:r w:rsidRPr="00B34B92">
              <w:rPr>
                <w:szCs w:val="22"/>
              </w:rPr>
              <w:t>Lisboa</w:t>
            </w:r>
            <w:proofErr w:type="spellEnd"/>
            <w:r w:rsidRPr="00B34B92">
              <w:rPr>
                <w:szCs w:val="22"/>
              </w:rPr>
              <w:t xml:space="preserve">, </w:t>
            </w:r>
            <w:proofErr w:type="spellStart"/>
            <w:r w:rsidRPr="00B34B92">
              <w:rPr>
                <w:szCs w:val="22"/>
              </w:rPr>
              <w:t>Freguesia</w:t>
            </w:r>
            <w:proofErr w:type="spellEnd"/>
            <w:r w:rsidRPr="00B34B92">
              <w:rPr>
                <w:szCs w:val="22"/>
              </w:rPr>
              <w:t xml:space="preserve"> de </w:t>
            </w:r>
            <w:proofErr w:type="spellStart"/>
            <w:r w:rsidRPr="00B34B92">
              <w:rPr>
                <w:szCs w:val="22"/>
              </w:rPr>
              <w:t>Avenidas</w:t>
            </w:r>
            <w:proofErr w:type="spellEnd"/>
            <w:r w:rsidRPr="00B34B92">
              <w:rPr>
                <w:szCs w:val="22"/>
              </w:rPr>
              <w:t xml:space="preserve"> </w:t>
            </w:r>
            <w:proofErr w:type="spellStart"/>
            <w:r w:rsidRPr="00B34B92">
              <w:rPr>
                <w:szCs w:val="22"/>
              </w:rPr>
              <w:t>Novas</w:t>
            </w:r>
            <w:proofErr w:type="spellEnd"/>
            <w:r w:rsidRPr="00B34B92">
              <w:rPr>
                <w:szCs w:val="22"/>
              </w:rPr>
              <w:t xml:space="preserve">, Concelho de </w:t>
            </w:r>
            <w:proofErr w:type="spellStart"/>
            <w:r w:rsidRPr="00B34B92">
              <w:rPr>
                <w:szCs w:val="22"/>
              </w:rPr>
              <w:t>Lisboa</w:t>
            </w:r>
            <w:proofErr w:type="spellEnd"/>
            <w:r w:rsidRPr="00B34B92">
              <w:rPr>
                <w:szCs w:val="22"/>
              </w:rPr>
              <w:t>, Portugal</w:t>
            </w:r>
          </w:p>
        </w:tc>
      </w:tr>
      <w:tr w:rsidR="00370FFC" w:rsidRPr="00170081" w14:paraId="0EA9BC72" w14:textId="77777777" w:rsidTr="00B6668E">
        <w:tc>
          <w:tcPr>
            <w:tcW w:w="2500" w:type="pct"/>
            <w:tcBorders>
              <w:top w:val="nil"/>
              <w:left w:val="nil"/>
              <w:bottom w:val="nil"/>
              <w:right w:val="nil"/>
            </w:tcBorders>
          </w:tcPr>
          <w:p w14:paraId="7965851F" w14:textId="77777777" w:rsidR="00370FFC" w:rsidRPr="00170081" w:rsidRDefault="00370FFC" w:rsidP="00B6668E">
            <w:pPr>
              <w:pStyle w:val="Paragraph"/>
              <w:jc w:val="left"/>
              <w:rPr>
                <w:szCs w:val="22"/>
              </w:rPr>
            </w:pPr>
            <w:r w:rsidRPr="00170081">
              <w:rPr>
                <w:szCs w:val="22"/>
              </w:rPr>
              <w:lastRenderedPageBreak/>
              <w:t>Directors:</w:t>
            </w:r>
          </w:p>
        </w:tc>
        <w:tc>
          <w:tcPr>
            <w:tcW w:w="2500" w:type="pct"/>
            <w:tcBorders>
              <w:top w:val="nil"/>
              <w:left w:val="nil"/>
              <w:bottom w:val="nil"/>
              <w:right w:val="nil"/>
            </w:tcBorders>
          </w:tcPr>
          <w:p w14:paraId="46B0FB69" w14:textId="77777777" w:rsidR="00370FFC" w:rsidRPr="00170081" w:rsidRDefault="00B34B92" w:rsidP="00B6668E">
            <w:pPr>
              <w:pStyle w:val="Paragraph"/>
              <w:jc w:val="left"/>
              <w:rPr>
                <w:szCs w:val="22"/>
              </w:rPr>
            </w:pPr>
            <w:r>
              <w:rPr>
                <w:szCs w:val="22"/>
              </w:rPr>
              <w:t xml:space="preserve">Rakesh </w:t>
            </w:r>
            <w:proofErr w:type="spellStart"/>
            <w:r>
              <w:rPr>
                <w:szCs w:val="22"/>
              </w:rPr>
              <w:t>Majithia</w:t>
            </w:r>
            <w:proofErr w:type="spellEnd"/>
          </w:p>
        </w:tc>
      </w:tr>
      <w:tr w:rsidR="00370FFC" w:rsidRPr="00170081" w14:paraId="751B3D67" w14:textId="77777777" w:rsidTr="00B6668E">
        <w:tc>
          <w:tcPr>
            <w:tcW w:w="2500" w:type="pct"/>
            <w:tcBorders>
              <w:top w:val="nil"/>
              <w:left w:val="nil"/>
              <w:bottom w:val="nil"/>
              <w:right w:val="nil"/>
            </w:tcBorders>
          </w:tcPr>
          <w:p w14:paraId="20AF17F7" w14:textId="77777777" w:rsidR="00370FFC" w:rsidRPr="00170081" w:rsidRDefault="00370FFC" w:rsidP="00B6668E">
            <w:pPr>
              <w:pStyle w:val="Paragraph"/>
              <w:jc w:val="left"/>
              <w:rPr>
                <w:szCs w:val="22"/>
              </w:rPr>
            </w:pPr>
          </w:p>
        </w:tc>
        <w:tc>
          <w:tcPr>
            <w:tcW w:w="2500" w:type="pct"/>
            <w:tcBorders>
              <w:top w:val="nil"/>
              <w:left w:val="nil"/>
              <w:bottom w:val="nil"/>
              <w:right w:val="nil"/>
            </w:tcBorders>
          </w:tcPr>
          <w:p w14:paraId="78371B32" w14:textId="77777777" w:rsidR="00370FFC" w:rsidRPr="00170081" w:rsidRDefault="00370FFC" w:rsidP="00B6668E">
            <w:pPr>
              <w:pStyle w:val="Paragraph"/>
              <w:jc w:val="left"/>
              <w:rPr>
                <w:szCs w:val="22"/>
              </w:rPr>
            </w:pPr>
          </w:p>
        </w:tc>
      </w:tr>
      <w:tr w:rsidR="00370FFC" w:rsidRPr="00170081" w14:paraId="3EB226E6" w14:textId="77777777" w:rsidTr="00B6668E">
        <w:tc>
          <w:tcPr>
            <w:tcW w:w="2500" w:type="pct"/>
            <w:tcBorders>
              <w:top w:val="nil"/>
              <w:left w:val="nil"/>
              <w:bottom w:val="nil"/>
              <w:right w:val="nil"/>
            </w:tcBorders>
          </w:tcPr>
          <w:p w14:paraId="310F9C85" w14:textId="77777777" w:rsidR="00370FFC" w:rsidRPr="00170081" w:rsidRDefault="00370FFC" w:rsidP="00B6668E">
            <w:pPr>
              <w:pStyle w:val="Paragraph"/>
              <w:jc w:val="left"/>
              <w:rPr>
                <w:szCs w:val="22"/>
              </w:rPr>
            </w:pPr>
            <w:r w:rsidRPr="00170081">
              <w:rPr>
                <w:szCs w:val="22"/>
              </w:rPr>
              <w:t>Accounting reference date:</w:t>
            </w:r>
          </w:p>
        </w:tc>
        <w:tc>
          <w:tcPr>
            <w:tcW w:w="2500" w:type="pct"/>
            <w:tcBorders>
              <w:top w:val="nil"/>
              <w:left w:val="nil"/>
              <w:bottom w:val="nil"/>
              <w:right w:val="nil"/>
            </w:tcBorders>
          </w:tcPr>
          <w:p w14:paraId="3EF456C9" w14:textId="77777777" w:rsidR="00370FFC" w:rsidRPr="00170081" w:rsidRDefault="00B34B92" w:rsidP="00B6668E">
            <w:pPr>
              <w:pStyle w:val="Paragraph"/>
              <w:jc w:val="left"/>
              <w:rPr>
                <w:szCs w:val="22"/>
              </w:rPr>
            </w:pPr>
            <w:r>
              <w:rPr>
                <w:szCs w:val="22"/>
              </w:rPr>
              <w:t xml:space="preserve">31 December </w:t>
            </w:r>
          </w:p>
        </w:tc>
      </w:tr>
      <w:tr w:rsidR="00370FFC" w:rsidRPr="00170081" w14:paraId="135972B6" w14:textId="77777777" w:rsidTr="00B6668E">
        <w:tc>
          <w:tcPr>
            <w:tcW w:w="2500" w:type="pct"/>
            <w:tcBorders>
              <w:top w:val="nil"/>
              <w:left w:val="nil"/>
              <w:bottom w:val="nil"/>
              <w:right w:val="nil"/>
            </w:tcBorders>
          </w:tcPr>
          <w:p w14:paraId="538B2324" w14:textId="77777777" w:rsidR="00370FFC" w:rsidRPr="00170081" w:rsidRDefault="00370FFC" w:rsidP="00B6668E">
            <w:pPr>
              <w:pStyle w:val="Paragraph"/>
              <w:jc w:val="left"/>
              <w:rPr>
                <w:szCs w:val="22"/>
              </w:rPr>
            </w:pPr>
            <w:r w:rsidRPr="00170081">
              <w:rPr>
                <w:szCs w:val="22"/>
              </w:rPr>
              <w:t>Loans:</w:t>
            </w:r>
          </w:p>
        </w:tc>
        <w:tc>
          <w:tcPr>
            <w:tcW w:w="2500" w:type="pct"/>
            <w:tcBorders>
              <w:top w:val="nil"/>
              <w:left w:val="nil"/>
              <w:bottom w:val="nil"/>
              <w:right w:val="nil"/>
            </w:tcBorders>
          </w:tcPr>
          <w:p w14:paraId="1BCFF0E6" w14:textId="77777777" w:rsidR="00370FFC" w:rsidRPr="00170081" w:rsidRDefault="00B34B92" w:rsidP="00B6668E">
            <w:pPr>
              <w:pStyle w:val="Paragraph"/>
              <w:jc w:val="left"/>
              <w:rPr>
                <w:szCs w:val="22"/>
              </w:rPr>
            </w:pPr>
            <w:r>
              <w:rPr>
                <w:szCs w:val="22"/>
              </w:rPr>
              <w:t>None</w:t>
            </w:r>
          </w:p>
        </w:tc>
      </w:tr>
      <w:tr w:rsidR="00370FFC" w:rsidRPr="00170081" w14:paraId="7FD542D4" w14:textId="77777777" w:rsidTr="00B6668E">
        <w:tc>
          <w:tcPr>
            <w:tcW w:w="2500" w:type="pct"/>
            <w:tcBorders>
              <w:top w:val="nil"/>
              <w:left w:val="nil"/>
              <w:bottom w:val="nil"/>
              <w:right w:val="nil"/>
            </w:tcBorders>
          </w:tcPr>
          <w:p w14:paraId="69926AB5" w14:textId="77777777" w:rsidR="00370FFC" w:rsidRPr="00170081" w:rsidRDefault="00370FFC" w:rsidP="00B6668E">
            <w:pPr>
              <w:pStyle w:val="Paragraph"/>
              <w:jc w:val="left"/>
              <w:rPr>
                <w:szCs w:val="22"/>
              </w:rPr>
            </w:pPr>
            <w:r w:rsidRPr="00170081">
              <w:rPr>
                <w:szCs w:val="22"/>
              </w:rPr>
              <w:t>Charges:</w:t>
            </w:r>
          </w:p>
        </w:tc>
        <w:tc>
          <w:tcPr>
            <w:tcW w:w="2500" w:type="pct"/>
            <w:tcBorders>
              <w:top w:val="nil"/>
              <w:left w:val="nil"/>
              <w:bottom w:val="nil"/>
              <w:right w:val="nil"/>
            </w:tcBorders>
          </w:tcPr>
          <w:p w14:paraId="3114A39B" w14:textId="77777777" w:rsidR="00370FFC" w:rsidRPr="00170081" w:rsidRDefault="00B34B92" w:rsidP="00B6668E">
            <w:pPr>
              <w:pStyle w:val="Paragraph"/>
              <w:jc w:val="left"/>
              <w:rPr>
                <w:szCs w:val="22"/>
              </w:rPr>
            </w:pPr>
            <w:r>
              <w:rPr>
                <w:szCs w:val="22"/>
              </w:rPr>
              <w:t>None</w:t>
            </w:r>
          </w:p>
        </w:tc>
      </w:tr>
      <w:tr w:rsidR="00370FFC" w:rsidRPr="00170081" w14:paraId="424B7CB5" w14:textId="77777777" w:rsidTr="00B6668E">
        <w:tc>
          <w:tcPr>
            <w:tcW w:w="2500" w:type="pct"/>
            <w:tcBorders>
              <w:top w:val="nil"/>
              <w:left w:val="nil"/>
              <w:bottom w:val="nil"/>
              <w:right w:val="nil"/>
            </w:tcBorders>
          </w:tcPr>
          <w:p w14:paraId="3371B0D5" w14:textId="77777777" w:rsidR="00370FFC" w:rsidRPr="00170081" w:rsidRDefault="00370FFC" w:rsidP="00B6668E">
            <w:pPr>
              <w:pStyle w:val="Paragraph"/>
              <w:jc w:val="left"/>
              <w:rPr>
                <w:szCs w:val="22"/>
              </w:rPr>
            </w:pPr>
            <w:r w:rsidRPr="00170081">
              <w:rPr>
                <w:szCs w:val="22"/>
              </w:rPr>
              <w:t>Bankers:</w:t>
            </w:r>
          </w:p>
        </w:tc>
        <w:tc>
          <w:tcPr>
            <w:tcW w:w="2500" w:type="pct"/>
            <w:tcBorders>
              <w:top w:val="nil"/>
              <w:left w:val="nil"/>
              <w:bottom w:val="nil"/>
              <w:right w:val="nil"/>
            </w:tcBorders>
          </w:tcPr>
          <w:p w14:paraId="2B99B1EC" w14:textId="77777777" w:rsidR="00370FFC" w:rsidRPr="00170081" w:rsidRDefault="0030701F" w:rsidP="00B6668E">
            <w:pPr>
              <w:pStyle w:val="Paragraph"/>
              <w:jc w:val="left"/>
              <w:rPr>
                <w:szCs w:val="22"/>
              </w:rPr>
            </w:pPr>
            <w:r>
              <w:rPr>
                <w:szCs w:val="22"/>
              </w:rPr>
              <w:t xml:space="preserve">Santander, </w:t>
            </w:r>
            <w:r>
              <w:t xml:space="preserve">Av. Joaquim </w:t>
            </w:r>
            <w:proofErr w:type="spellStart"/>
            <w:r>
              <w:t>Leite</w:t>
            </w:r>
            <w:proofErr w:type="spellEnd"/>
            <w:r>
              <w:t xml:space="preserve">, Ed. </w:t>
            </w:r>
            <w:proofErr w:type="spellStart"/>
            <w:r>
              <w:t>Varandas</w:t>
            </w:r>
            <w:proofErr w:type="spellEnd"/>
            <w:r>
              <w:t xml:space="preserve"> do Ave, 4765-689 Bairro, Portugal</w:t>
            </w:r>
          </w:p>
        </w:tc>
      </w:tr>
      <w:tr w:rsidR="00370FFC" w:rsidRPr="00170081" w14:paraId="7015C52E" w14:textId="77777777" w:rsidTr="00B6668E">
        <w:tc>
          <w:tcPr>
            <w:tcW w:w="2500" w:type="pct"/>
            <w:tcBorders>
              <w:top w:val="nil"/>
              <w:left w:val="nil"/>
              <w:bottom w:val="nil"/>
              <w:right w:val="nil"/>
            </w:tcBorders>
          </w:tcPr>
          <w:p w14:paraId="64FBFAA7" w14:textId="77777777" w:rsidR="00370FFC" w:rsidRPr="00170081" w:rsidRDefault="00370FFC" w:rsidP="00B6668E">
            <w:pPr>
              <w:pStyle w:val="Paragraph"/>
              <w:jc w:val="left"/>
              <w:rPr>
                <w:szCs w:val="22"/>
              </w:rPr>
            </w:pPr>
            <w:r w:rsidRPr="00170081">
              <w:rPr>
                <w:szCs w:val="22"/>
              </w:rPr>
              <w:t>Auditors:</w:t>
            </w:r>
          </w:p>
        </w:tc>
        <w:tc>
          <w:tcPr>
            <w:tcW w:w="2500" w:type="pct"/>
            <w:tcBorders>
              <w:top w:val="nil"/>
              <w:left w:val="nil"/>
              <w:bottom w:val="nil"/>
              <w:right w:val="nil"/>
            </w:tcBorders>
          </w:tcPr>
          <w:p w14:paraId="31CBBCC6" w14:textId="77777777" w:rsidR="00370FFC" w:rsidRPr="00170081" w:rsidRDefault="00630B78" w:rsidP="00B6668E">
            <w:pPr>
              <w:pStyle w:val="Paragraph"/>
              <w:jc w:val="left"/>
              <w:rPr>
                <w:szCs w:val="22"/>
              </w:rPr>
            </w:pPr>
            <w:r>
              <w:rPr>
                <w:szCs w:val="22"/>
              </w:rPr>
              <w:t xml:space="preserve">BWV Business &amp; Tax Advisors, Av. Elias Garcia, n 91, 1., 1050-097 </w:t>
            </w:r>
            <w:proofErr w:type="spellStart"/>
            <w:r>
              <w:rPr>
                <w:szCs w:val="22"/>
              </w:rPr>
              <w:t>Lisboa</w:t>
            </w:r>
            <w:proofErr w:type="spellEnd"/>
            <w:r>
              <w:rPr>
                <w:szCs w:val="22"/>
              </w:rPr>
              <w:t>, Portugal</w:t>
            </w:r>
            <w:r w:rsidRPr="00170081">
              <w:rPr>
                <w:szCs w:val="22"/>
              </w:rPr>
              <w:t xml:space="preserve"> </w:t>
            </w:r>
          </w:p>
        </w:tc>
      </w:tr>
      <w:tr w:rsidR="00370FFC" w:rsidRPr="00170081" w14:paraId="09CC5A21" w14:textId="77777777" w:rsidTr="00B6668E">
        <w:tc>
          <w:tcPr>
            <w:tcW w:w="2500" w:type="pct"/>
            <w:tcBorders>
              <w:top w:val="nil"/>
              <w:left w:val="nil"/>
              <w:bottom w:val="nil"/>
              <w:right w:val="nil"/>
            </w:tcBorders>
          </w:tcPr>
          <w:p w14:paraId="0E3A59F8" w14:textId="77777777" w:rsidR="00370FFC" w:rsidRPr="00170081" w:rsidRDefault="00370FFC" w:rsidP="00B6668E">
            <w:pPr>
              <w:pStyle w:val="Paragraph"/>
              <w:jc w:val="left"/>
              <w:rPr>
                <w:szCs w:val="22"/>
              </w:rPr>
            </w:pPr>
            <w:r w:rsidRPr="00170081">
              <w:rPr>
                <w:szCs w:val="22"/>
              </w:rPr>
              <w:t>Issued share capital:</w:t>
            </w:r>
          </w:p>
        </w:tc>
        <w:tc>
          <w:tcPr>
            <w:tcW w:w="2500" w:type="pct"/>
            <w:tcBorders>
              <w:top w:val="nil"/>
              <w:left w:val="nil"/>
              <w:bottom w:val="nil"/>
              <w:right w:val="nil"/>
            </w:tcBorders>
          </w:tcPr>
          <w:p w14:paraId="6F9A3411" w14:textId="77777777" w:rsidR="00370FFC" w:rsidRPr="00170081" w:rsidRDefault="00D84B56" w:rsidP="00B6668E">
            <w:pPr>
              <w:pStyle w:val="Paragraph"/>
              <w:jc w:val="left"/>
              <w:rPr>
                <w:szCs w:val="22"/>
              </w:rPr>
            </w:pPr>
            <w:r>
              <w:rPr>
                <w:szCs w:val="22"/>
              </w:rPr>
              <w:t>50,000</w:t>
            </w:r>
            <w:r w:rsidR="00370FFC" w:rsidRPr="00170081">
              <w:rPr>
                <w:szCs w:val="22"/>
              </w:rPr>
              <w:t xml:space="preserve"> shares of </w:t>
            </w:r>
            <w:r>
              <w:rPr>
                <w:szCs w:val="22"/>
              </w:rPr>
              <w:t>€1</w:t>
            </w:r>
            <w:r w:rsidR="00370FFC" w:rsidRPr="00170081">
              <w:rPr>
                <w:szCs w:val="22"/>
              </w:rPr>
              <w:t xml:space="preserve"> each.</w:t>
            </w:r>
          </w:p>
        </w:tc>
      </w:tr>
    </w:tbl>
    <w:p w14:paraId="7FAA5177" w14:textId="77777777" w:rsidR="00DC6D61" w:rsidRPr="00DC6D61" w:rsidRDefault="00DC6D61">
      <w:r w:rsidRPr="00DC6D61">
        <w:br w:type="page"/>
      </w:r>
    </w:p>
    <w:p w14:paraId="44044C40" w14:textId="77777777" w:rsidR="00DC6D61" w:rsidRPr="00DC6D61" w:rsidRDefault="00DC6D61" w:rsidP="00DC6D61">
      <w:pPr>
        <w:pStyle w:val="Schedule"/>
        <w:rPr>
          <w:rFonts w:ascii="Calibri" w:hAnsi="Calibri"/>
        </w:rPr>
      </w:pPr>
      <w:bookmarkStart w:id="174" w:name="a151368"/>
      <w:bookmarkStart w:id="175" w:name="_Toc256000042"/>
      <w:r w:rsidRPr="00DC6D61">
        <w:rPr>
          <w:rFonts w:ascii="Calibri" w:hAnsi="Calibri"/>
        </w:rPr>
        <w:lastRenderedPageBreak/>
        <w:t>Warranties</w:t>
      </w:r>
      <w:bookmarkEnd w:id="174"/>
      <w:bookmarkEnd w:id="175"/>
    </w:p>
    <w:p w14:paraId="73EDFD34" w14:textId="77777777" w:rsidR="00DC6D61" w:rsidRPr="00DC6D61" w:rsidRDefault="00DC6D61" w:rsidP="00DC6D61">
      <w:pPr>
        <w:pStyle w:val="ScheduleTitleClause"/>
        <w:rPr>
          <w:szCs w:val="22"/>
        </w:rPr>
      </w:pPr>
      <w:r w:rsidRPr="00DC6D61">
        <w:rPr>
          <w:szCs w:val="22"/>
        </w:rPr>
        <w:fldChar w:fldCharType="begin"/>
      </w:r>
      <w:r w:rsidRPr="00DC6D61">
        <w:rPr>
          <w:szCs w:val="22"/>
        </w:rPr>
        <w:instrText>TC "1. Share Capital" \l 1</w:instrText>
      </w:r>
      <w:r w:rsidRPr="00DC6D61">
        <w:rPr>
          <w:szCs w:val="22"/>
        </w:rPr>
        <w:fldChar w:fldCharType="end"/>
      </w:r>
      <w:bookmarkStart w:id="176" w:name="a543404"/>
      <w:bookmarkStart w:id="177" w:name="_Toc256000043"/>
      <w:r w:rsidRPr="00DC6D61">
        <w:rPr>
          <w:szCs w:val="22"/>
        </w:rPr>
        <w:t>Share Capital</w:t>
      </w:r>
      <w:bookmarkEnd w:id="176"/>
      <w:bookmarkEnd w:id="177"/>
    </w:p>
    <w:p w14:paraId="0C179873" w14:textId="31EA56FD" w:rsidR="00DC6D61" w:rsidRPr="00DC6D61" w:rsidRDefault="00DC6D61" w:rsidP="00DC6D61">
      <w:pPr>
        <w:pStyle w:val="ScheduleUntitledsubclause1"/>
        <w:rPr>
          <w:szCs w:val="22"/>
        </w:rPr>
      </w:pPr>
      <w:bookmarkStart w:id="178" w:name="a799704"/>
      <w:r w:rsidRPr="00DC6D61">
        <w:rPr>
          <w:szCs w:val="22"/>
        </w:rPr>
        <w:t xml:space="preserve">The Founders are the </w:t>
      </w:r>
      <w:r w:rsidR="00967EF2">
        <w:rPr>
          <w:szCs w:val="22"/>
        </w:rPr>
        <w:t>legal and beneficial owners of</w:t>
      </w:r>
      <w:r w:rsidRPr="00DC6D61">
        <w:rPr>
          <w:szCs w:val="22"/>
        </w:rPr>
        <w:t xml:space="preserve"> the</w:t>
      </w:r>
      <w:r w:rsidR="00967EF2">
        <w:rPr>
          <w:szCs w:val="22"/>
        </w:rPr>
        <w:t xml:space="preserve"> entire issued share capital of the Company. </w:t>
      </w:r>
      <w:r w:rsidR="008C4C53">
        <w:rPr>
          <w:szCs w:val="22"/>
        </w:rPr>
        <w:t xml:space="preserve"> </w:t>
      </w:r>
      <w:proofErr w:type="gramStart"/>
      <w:r w:rsidRPr="00DC6D61">
        <w:rPr>
          <w:szCs w:val="22"/>
        </w:rPr>
        <w:t>All of</w:t>
      </w:r>
      <w:proofErr w:type="gramEnd"/>
      <w:r w:rsidRPr="00DC6D61">
        <w:rPr>
          <w:szCs w:val="22"/>
        </w:rPr>
        <w:t xml:space="preserve"> the shares </w:t>
      </w:r>
      <w:r w:rsidR="00B96281">
        <w:rPr>
          <w:szCs w:val="22"/>
        </w:rPr>
        <w:t xml:space="preserve">of the Company are fully paid </w:t>
      </w:r>
      <w:r w:rsidRPr="00DC6D61">
        <w:rPr>
          <w:szCs w:val="22"/>
        </w:rPr>
        <w:t>and comprise the entire issu</w:t>
      </w:r>
      <w:r w:rsidR="00B96281">
        <w:rPr>
          <w:szCs w:val="22"/>
        </w:rPr>
        <w:t>ed share capital of the Company</w:t>
      </w:r>
      <w:r w:rsidRPr="00DC6D61">
        <w:rPr>
          <w:szCs w:val="22"/>
        </w:rPr>
        <w:t xml:space="preserve">.  </w:t>
      </w:r>
      <w:bookmarkEnd w:id="178"/>
    </w:p>
    <w:p w14:paraId="00401E44" w14:textId="77777777" w:rsidR="00DC6D61" w:rsidRPr="00DC6D61" w:rsidRDefault="00DC6D61" w:rsidP="00DC6D61">
      <w:pPr>
        <w:pStyle w:val="ScheduleUntitledsubclause1"/>
        <w:rPr>
          <w:szCs w:val="22"/>
        </w:rPr>
      </w:pPr>
      <w:bookmarkStart w:id="179" w:name="a734257"/>
      <w:r w:rsidRPr="00DC6D61">
        <w:rPr>
          <w:szCs w:val="22"/>
        </w:rPr>
        <w:t>None of the share capital of the Company (whether issued or unissued) is under option or subject to any Encumbrance. No dividends or other rights or benefits have been declared, made or paid or agreed to be declared, made or paid thereon.</w:t>
      </w:r>
      <w:bookmarkEnd w:id="179"/>
    </w:p>
    <w:p w14:paraId="36D5C9CE" w14:textId="77777777" w:rsidR="00DC6D61" w:rsidRPr="00DC6D61" w:rsidRDefault="00DC6D61" w:rsidP="00DC6D61">
      <w:pPr>
        <w:pStyle w:val="ScheduleTitleClause"/>
        <w:rPr>
          <w:szCs w:val="22"/>
        </w:rPr>
      </w:pPr>
      <w:r w:rsidRPr="00DC6D61">
        <w:rPr>
          <w:szCs w:val="22"/>
        </w:rPr>
        <w:fldChar w:fldCharType="begin"/>
      </w:r>
      <w:r w:rsidRPr="00DC6D61">
        <w:rPr>
          <w:szCs w:val="22"/>
        </w:rPr>
        <w:instrText>TC "3. Business Plan" \l 1</w:instrText>
      </w:r>
      <w:r w:rsidRPr="00DC6D61">
        <w:rPr>
          <w:szCs w:val="22"/>
        </w:rPr>
        <w:fldChar w:fldCharType="end"/>
      </w:r>
      <w:r w:rsidR="0030286C">
        <w:rPr>
          <w:szCs w:val="22"/>
        </w:rPr>
        <w:t xml:space="preserve">Investment Proposal </w:t>
      </w:r>
    </w:p>
    <w:p w14:paraId="42ABB908" w14:textId="77777777" w:rsidR="00DC6D61" w:rsidRPr="00DC6D61" w:rsidRDefault="0030286C" w:rsidP="00DC6D61">
      <w:pPr>
        <w:pStyle w:val="ScheduleUntitledsubclause1"/>
        <w:rPr>
          <w:szCs w:val="22"/>
        </w:rPr>
      </w:pPr>
      <w:bookmarkStart w:id="180" w:name="a139402"/>
      <w:r>
        <w:rPr>
          <w:szCs w:val="22"/>
        </w:rPr>
        <w:t>The Investment Proposal</w:t>
      </w:r>
      <w:r w:rsidR="00DC6D61" w:rsidRPr="00DC6D61">
        <w:rPr>
          <w:szCs w:val="22"/>
        </w:rPr>
        <w:t xml:space="preserve"> has been diligently prepared and, as at the date of this agreement, each of the Founders believes that it represents a realistic plan in relation to the future progress, expansion and development of the business of the Company</w:t>
      </w:r>
      <w:r w:rsidR="00392717">
        <w:rPr>
          <w:szCs w:val="22"/>
        </w:rPr>
        <w:t xml:space="preserve"> in relation to the Project</w:t>
      </w:r>
      <w:r w:rsidR="00DC6D61" w:rsidRPr="00DC6D61">
        <w:rPr>
          <w:szCs w:val="22"/>
        </w:rPr>
        <w:t>.</w:t>
      </w:r>
      <w:bookmarkEnd w:id="180"/>
    </w:p>
    <w:p w14:paraId="50E63DEC" w14:textId="77777777" w:rsidR="00DC6D61" w:rsidRPr="00DC6D61" w:rsidRDefault="00DC6D61" w:rsidP="00DC6D61">
      <w:pPr>
        <w:pStyle w:val="ScheduleUntitledsubclause1"/>
        <w:rPr>
          <w:szCs w:val="22"/>
        </w:rPr>
      </w:pPr>
      <w:bookmarkStart w:id="181" w:name="a272598"/>
      <w:r w:rsidRPr="00DC6D61">
        <w:rPr>
          <w:szCs w:val="22"/>
        </w:rPr>
        <w:t xml:space="preserve">Each of the Founders believes that all statements of opinion in the </w:t>
      </w:r>
      <w:r w:rsidR="0030286C">
        <w:rPr>
          <w:szCs w:val="22"/>
        </w:rPr>
        <w:t>Investment Proposal</w:t>
      </w:r>
      <w:r w:rsidRPr="00DC6D61">
        <w:rPr>
          <w:szCs w:val="22"/>
        </w:rPr>
        <w:t xml:space="preserve"> are fair and reasonable and are not misleading.</w:t>
      </w:r>
      <w:bookmarkEnd w:id="181"/>
    </w:p>
    <w:p w14:paraId="2BE274A8" w14:textId="77777777" w:rsidR="00DC6D61" w:rsidRPr="00DC6D61" w:rsidRDefault="00DC6D61" w:rsidP="00DC6D61">
      <w:pPr>
        <w:pStyle w:val="ScheduleTitleClause"/>
        <w:rPr>
          <w:szCs w:val="22"/>
        </w:rPr>
      </w:pPr>
      <w:r w:rsidRPr="00DC6D61">
        <w:rPr>
          <w:szCs w:val="22"/>
        </w:rPr>
        <w:fldChar w:fldCharType="begin"/>
      </w:r>
      <w:r w:rsidRPr="00DC6D61">
        <w:rPr>
          <w:szCs w:val="22"/>
        </w:rPr>
        <w:instrText>TC "18. Group Structure" \l 1</w:instrText>
      </w:r>
      <w:r w:rsidRPr="00DC6D61">
        <w:rPr>
          <w:szCs w:val="22"/>
        </w:rPr>
        <w:fldChar w:fldCharType="end"/>
      </w:r>
      <w:bookmarkStart w:id="182" w:name="a167033"/>
      <w:bookmarkStart w:id="183" w:name="_Toc256000060"/>
      <w:r w:rsidRPr="00DC6D61">
        <w:rPr>
          <w:szCs w:val="22"/>
        </w:rPr>
        <w:t>Group Structure</w:t>
      </w:r>
      <w:bookmarkEnd w:id="182"/>
      <w:bookmarkEnd w:id="183"/>
    </w:p>
    <w:p w14:paraId="29A2166B" w14:textId="77777777" w:rsidR="00DC6D61" w:rsidRPr="00DC6D61" w:rsidRDefault="00DC6D61" w:rsidP="00DC6D61">
      <w:pPr>
        <w:pStyle w:val="ScheduleUntitledsubclause1"/>
        <w:rPr>
          <w:szCs w:val="22"/>
        </w:rPr>
      </w:pPr>
      <w:r w:rsidRPr="00DC6D61">
        <w:rPr>
          <w:szCs w:val="22"/>
        </w:rPr>
        <w:fldChar w:fldCharType="begin"/>
      </w:r>
      <w:r w:rsidRPr="00DC6D61">
        <w:rPr>
          <w:szCs w:val="22"/>
        </w:rPr>
        <w:fldChar w:fldCharType="end"/>
      </w:r>
      <w:bookmarkStart w:id="184" w:name="a478966"/>
      <w:r w:rsidRPr="00DC6D61">
        <w:rPr>
          <w:szCs w:val="22"/>
        </w:rPr>
        <w:t>No person has the right (whether exercisable now or in the future and whether contingent or not) to call for the allotment, issue, sale, transfer or conversion of any shares or loan capital of the Company under option or any other agreement (including conversion rights and rights of pre-emption).</w:t>
      </w:r>
      <w:bookmarkEnd w:id="184"/>
    </w:p>
    <w:p w14:paraId="4A42C1FD" w14:textId="77777777" w:rsidR="00DC6D61" w:rsidRDefault="00DC6D61" w:rsidP="00DC6D61">
      <w:pPr>
        <w:pStyle w:val="ScheduleUntitledsubclause1"/>
        <w:rPr>
          <w:szCs w:val="22"/>
        </w:rPr>
      </w:pPr>
      <w:bookmarkStart w:id="185" w:name="a505987"/>
      <w:r w:rsidRPr="00DC6D61">
        <w:rPr>
          <w:szCs w:val="22"/>
        </w:rPr>
        <w:t>The Company is n</w:t>
      </w:r>
      <w:r w:rsidR="0030286C">
        <w:rPr>
          <w:szCs w:val="22"/>
        </w:rPr>
        <w:t>ot, in relation to any company (other than a Subsidiary)</w:t>
      </w:r>
      <w:r w:rsidRPr="00DC6D61">
        <w:rPr>
          <w:szCs w:val="22"/>
        </w:rPr>
        <w:t xml:space="preserve">, limited liability partnership or </w:t>
      </w:r>
      <w:proofErr w:type="spellStart"/>
      <w:r w:rsidRPr="00DC6D61">
        <w:rPr>
          <w:szCs w:val="22"/>
        </w:rPr>
        <w:t>Societas</w:t>
      </w:r>
      <w:proofErr w:type="spellEnd"/>
      <w:r w:rsidRPr="00DC6D61">
        <w:rPr>
          <w:szCs w:val="22"/>
        </w:rPr>
        <w:t xml:space="preserve"> </w:t>
      </w:r>
      <w:proofErr w:type="spellStart"/>
      <w:r w:rsidRPr="00DC6D61">
        <w:rPr>
          <w:szCs w:val="22"/>
        </w:rPr>
        <w:t>Europaea</w:t>
      </w:r>
      <w:proofErr w:type="spellEnd"/>
      <w:r w:rsidRPr="00DC6D61">
        <w:rPr>
          <w:szCs w:val="22"/>
        </w:rPr>
        <w:t xml:space="preserve"> registered in the United Kingdom, a registrable relevant legal entity (as defined in section 790C of the Act).</w:t>
      </w:r>
      <w:bookmarkEnd w:id="185"/>
    </w:p>
    <w:p w14:paraId="7E18ECCF" w14:textId="77777777" w:rsidR="008C4C53" w:rsidRDefault="00386240" w:rsidP="00DC6D61">
      <w:pPr>
        <w:pStyle w:val="ScheduleUntitledsubclause1"/>
        <w:rPr>
          <w:szCs w:val="22"/>
        </w:rPr>
      </w:pPr>
      <w:r>
        <w:rPr>
          <w:szCs w:val="22"/>
        </w:rPr>
        <w:t>Fine Holdings</w:t>
      </w:r>
      <w:r w:rsidR="008C4C53">
        <w:rPr>
          <w:szCs w:val="22"/>
        </w:rPr>
        <w:t xml:space="preserve"> is a wholly owned Subsidiary of the Company.</w:t>
      </w:r>
    </w:p>
    <w:p w14:paraId="1D41C29A" w14:textId="77777777" w:rsidR="008C4C53" w:rsidRPr="00DC6D61" w:rsidRDefault="008C4C53" w:rsidP="00DC6D61">
      <w:pPr>
        <w:pStyle w:val="ScheduleUntitledsubclause1"/>
        <w:rPr>
          <w:szCs w:val="22"/>
        </w:rPr>
      </w:pPr>
      <w:r>
        <w:rPr>
          <w:szCs w:val="22"/>
        </w:rPr>
        <w:t xml:space="preserve">Glacier Motion is a wholly owned subsidiary of </w:t>
      </w:r>
      <w:r w:rsidR="00386240">
        <w:rPr>
          <w:szCs w:val="22"/>
        </w:rPr>
        <w:t>Fine Holdings</w:t>
      </w:r>
      <w:r>
        <w:rPr>
          <w:szCs w:val="22"/>
        </w:rPr>
        <w:t>.</w:t>
      </w:r>
    </w:p>
    <w:p w14:paraId="7ED35C18" w14:textId="77777777" w:rsidR="00DC6D61" w:rsidRPr="00DC6D61" w:rsidRDefault="00DC6D61" w:rsidP="00DC6D61">
      <w:pPr>
        <w:pStyle w:val="ScheduleTitleClause"/>
        <w:rPr>
          <w:szCs w:val="22"/>
        </w:rPr>
      </w:pPr>
      <w:r w:rsidRPr="00DC6D61">
        <w:rPr>
          <w:szCs w:val="22"/>
        </w:rPr>
        <w:fldChar w:fldCharType="begin"/>
      </w:r>
      <w:r w:rsidRPr="00DC6D61">
        <w:rPr>
          <w:szCs w:val="22"/>
        </w:rPr>
        <w:instrText>TC "21. Insolvency" \l 1</w:instrText>
      </w:r>
      <w:r w:rsidRPr="00DC6D61">
        <w:rPr>
          <w:szCs w:val="22"/>
        </w:rPr>
        <w:fldChar w:fldCharType="end"/>
      </w:r>
      <w:bookmarkStart w:id="186" w:name="a109589"/>
      <w:bookmarkStart w:id="187" w:name="_Toc256000063"/>
      <w:r w:rsidRPr="00DC6D61">
        <w:rPr>
          <w:szCs w:val="22"/>
        </w:rPr>
        <w:t>Insolvency</w:t>
      </w:r>
      <w:bookmarkEnd w:id="186"/>
      <w:bookmarkEnd w:id="187"/>
    </w:p>
    <w:p w14:paraId="0D80EFDF" w14:textId="77777777" w:rsidR="00DC6D61" w:rsidRPr="00DC6D61" w:rsidRDefault="00DC6D61" w:rsidP="00DC6D61">
      <w:pPr>
        <w:pStyle w:val="ScheduleUntitledsubclause1"/>
        <w:rPr>
          <w:szCs w:val="22"/>
        </w:rPr>
      </w:pPr>
      <w:bookmarkStart w:id="188" w:name="a974156"/>
      <w:r w:rsidRPr="00DC6D61">
        <w:rPr>
          <w:szCs w:val="22"/>
        </w:rPr>
        <w:t>No step has been taken to initiate any process by or under which:</w:t>
      </w:r>
      <w:bookmarkEnd w:id="188"/>
    </w:p>
    <w:p w14:paraId="267EE7E6" w14:textId="77777777" w:rsidR="00DC6D61" w:rsidRPr="00DC6D61" w:rsidRDefault="00DC6D61" w:rsidP="00DC6D61">
      <w:pPr>
        <w:pStyle w:val="ScheduleUntitledsubclause2"/>
        <w:spacing w:before="60"/>
        <w:rPr>
          <w:szCs w:val="22"/>
        </w:rPr>
      </w:pPr>
      <w:bookmarkStart w:id="189" w:name="a875896"/>
      <w:r w:rsidRPr="00DC6D61">
        <w:rPr>
          <w:szCs w:val="22"/>
        </w:rPr>
        <w:t>the ability o</w:t>
      </w:r>
      <w:r w:rsidR="0030286C">
        <w:rPr>
          <w:szCs w:val="22"/>
        </w:rPr>
        <w:t>f the creditors of the Company, or any of the Subsidiaries,</w:t>
      </w:r>
      <w:r w:rsidRPr="00DC6D61">
        <w:rPr>
          <w:szCs w:val="22"/>
        </w:rPr>
        <w:t xml:space="preserve"> to take any action to enforce their debts is suspended, restricted or prevented; or </w:t>
      </w:r>
      <w:bookmarkEnd w:id="189"/>
    </w:p>
    <w:p w14:paraId="6D932AA2" w14:textId="77777777" w:rsidR="00DC6D61" w:rsidRPr="00DC6D61" w:rsidRDefault="00DC6D61" w:rsidP="00DC6D61">
      <w:pPr>
        <w:pStyle w:val="ScheduleUntitledsubclause2"/>
        <w:spacing w:before="60"/>
        <w:rPr>
          <w:szCs w:val="22"/>
        </w:rPr>
      </w:pPr>
      <w:bookmarkStart w:id="190" w:name="a544776"/>
      <w:r w:rsidRPr="00DC6D61">
        <w:rPr>
          <w:szCs w:val="22"/>
        </w:rPr>
        <w:t xml:space="preserve">some or </w:t>
      </w:r>
      <w:proofErr w:type="gramStart"/>
      <w:r w:rsidRPr="00DC6D61">
        <w:rPr>
          <w:szCs w:val="22"/>
        </w:rPr>
        <w:t>all o</w:t>
      </w:r>
      <w:r w:rsidR="0030286C">
        <w:rPr>
          <w:szCs w:val="22"/>
        </w:rPr>
        <w:t>f</w:t>
      </w:r>
      <w:proofErr w:type="gramEnd"/>
      <w:r w:rsidR="0030286C">
        <w:rPr>
          <w:szCs w:val="22"/>
        </w:rPr>
        <w:t xml:space="preserve"> the creditors of the Company or of any of the Subsidiaries</w:t>
      </w:r>
      <w:r w:rsidRPr="00DC6D61">
        <w:rPr>
          <w:szCs w:val="22"/>
        </w:rPr>
        <w:t xml:space="preserve"> accept, by agreement or under a court order, an amount less than the sums owing to them in </w:t>
      </w:r>
      <w:r w:rsidRPr="00DC6D61">
        <w:rPr>
          <w:szCs w:val="22"/>
        </w:rPr>
        <w:lastRenderedPageBreak/>
        <w:t xml:space="preserve">satisfaction of those sums with a view to preventing </w:t>
      </w:r>
      <w:r w:rsidR="0030286C">
        <w:rPr>
          <w:szCs w:val="22"/>
        </w:rPr>
        <w:t>the dissolution of the Company or any of the Subsidiaries</w:t>
      </w:r>
      <w:r w:rsidRPr="00DC6D61">
        <w:rPr>
          <w:szCs w:val="22"/>
        </w:rPr>
        <w:t xml:space="preserve">; or </w:t>
      </w:r>
      <w:bookmarkEnd w:id="190"/>
    </w:p>
    <w:p w14:paraId="41D77F04" w14:textId="77777777" w:rsidR="00DC6D61" w:rsidRPr="00DC6D61" w:rsidRDefault="00DC6D61" w:rsidP="00DC6D61">
      <w:pPr>
        <w:pStyle w:val="ScheduleUntitledsubclause2"/>
        <w:spacing w:before="60"/>
        <w:rPr>
          <w:szCs w:val="22"/>
        </w:rPr>
      </w:pPr>
      <w:bookmarkStart w:id="191" w:name="a574415"/>
      <w:r w:rsidRPr="00DC6D61">
        <w:rPr>
          <w:szCs w:val="22"/>
        </w:rPr>
        <w:t>a person is appointed to manage the affairs, busi</w:t>
      </w:r>
      <w:r w:rsidR="0030286C">
        <w:rPr>
          <w:szCs w:val="22"/>
        </w:rPr>
        <w:t>ness and assets of the Company, or any of the Subsidiaries, on behalf of the Company's or any of the Subsidiaries'</w:t>
      </w:r>
      <w:r w:rsidRPr="00DC6D61">
        <w:rPr>
          <w:szCs w:val="22"/>
        </w:rPr>
        <w:t xml:space="preserve"> creditors; or</w:t>
      </w:r>
      <w:bookmarkEnd w:id="191"/>
    </w:p>
    <w:p w14:paraId="0330812B" w14:textId="77777777" w:rsidR="00DC6D61" w:rsidRPr="00DC6D61" w:rsidRDefault="00DC6D61" w:rsidP="00DC6D61">
      <w:pPr>
        <w:pStyle w:val="ScheduleUntitledsubclause2"/>
        <w:spacing w:before="60"/>
        <w:rPr>
          <w:szCs w:val="22"/>
        </w:rPr>
      </w:pPr>
      <w:bookmarkStart w:id="192" w:name="a936256"/>
      <w:r w:rsidRPr="00DC6D61">
        <w:rPr>
          <w:szCs w:val="22"/>
        </w:rPr>
        <w:t>the holder of a ch</w:t>
      </w:r>
      <w:r w:rsidR="0030286C">
        <w:rPr>
          <w:szCs w:val="22"/>
        </w:rPr>
        <w:t xml:space="preserve">arge over the Company's assets </w:t>
      </w:r>
      <w:r w:rsidRPr="00DC6D61">
        <w:rPr>
          <w:szCs w:val="22"/>
        </w:rPr>
        <w:t xml:space="preserve">or over </w:t>
      </w:r>
      <w:r w:rsidR="0030286C">
        <w:rPr>
          <w:szCs w:val="22"/>
        </w:rPr>
        <w:t>any of the Subsidiaries' assets</w:t>
      </w:r>
      <w:r w:rsidRPr="00DC6D61">
        <w:rPr>
          <w:szCs w:val="22"/>
        </w:rPr>
        <w:t xml:space="preserve"> is appointed to control the busi</w:t>
      </w:r>
      <w:r w:rsidR="0030286C">
        <w:rPr>
          <w:szCs w:val="22"/>
        </w:rPr>
        <w:t>ness and assets of the Company or any of the Subsidiaries</w:t>
      </w:r>
      <w:r w:rsidRPr="00DC6D61">
        <w:rPr>
          <w:szCs w:val="22"/>
        </w:rPr>
        <w:t xml:space="preserve">. </w:t>
      </w:r>
      <w:bookmarkEnd w:id="192"/>
    </w:p>
    <w:p w14:paraId="76D7F163" w14:textId="77777777" w:rsidR="00DC6D61" w:rsidRPr="00DC6D61" w:rsidRDefault="0030286C" w:rsidP="00DC6D61">
      <w:pPr>
        <w:pStyle w:val="ScheduleUntitledsubclause1"/>
        <w:rPr>
          <w:szCs w:val="22"/>
        </w:rPr>
      </w:pPr>
      <w:bookmarkStart w:id="193" w:name="a728034"/>
      <w:r>
        <w:rPr>
          <w:szCs w:val="22"/>
        </w:rPr>
        <w:t>In relation to the Company and each of the Subsidiaries</w:t>
      </w:r>
      <w:r w:rsidR="00DC6D61" w:rsidRPr="00DC6D61">
        <w:rPr>
          <w:szCs w:val="22"/>
        </w:rPr>
        <w:t xml:space="preserve">:  </w:t>
      </w:r>
      <w:bookmarkEnd w:id="193"/>
    </w:p>
    <w:p w14:paraId="55544798" w14:textId="77777777" w:rsidR="00DC6D61" w:rsidRPr="00DC6D61" w:rsidRDefault="00DC6D61" w:rsidP="00DC6D61">
      <w:pPr>
        <w:pStyle w:val="ScheduleUntitledsubclause2"/>
        <w:spacing w:before="60"/>
        <w:rPr>
          <w:szCs w:val="22"/>
        </w:rPr>
      </w:pPr>
      <w:bookmarkStart w:id="194" w:name="a703089"/>
      <w:r w:rsidRPr="00DC6D61">
        <w:rPr>
          <w:szCs w:val="22"/>
        </w:rPr>
        <w:t>no administrator has been appointed;</w:t>
      </w:r>
      <w:bookmarkEnd w:id="194"/>
    </w:p>
    <w:p w14:paraId="1D4B80E4" w14:textId="77777777" w:rsidR="00DC6D61" w:rsidRPr="00DC6D61" w:rsidRDefault="00DC6D61" w:rsidP="00DC6D61">
      <w:pPr>
        <w:pStyle w:val="ScheduleUntitledsubclause2"/>
        <w:spacing w:before="60"/>
        <w:rPr>
          <w:szCs w:val="22"/>
        </w:rPr>
      </w:pPr>
      <w:bookmarkStart w:id="195" w:name="a322558"/>
      <w:r w:rsidRPr="00DC6D61">
        <w:rPr>
          <w:szCs w:val="22"/>
        </w:rPr>
        <w:t xml:space="preserve">no documents have been filed with the court for the appointment of an administrator; and </w:t>
      </w:r>
      <w:bookmarkEnd w:id="195"/>
    </w:p>
    <w:p w14:paraId="749C692A" w14:textId="77777777" w:rsidR="00DC6D61" w:rsidRPr="00DC6D61" w:rsidRDefault="00DC6D61" w:rsidP="00DC6D61">
      <w:pPr>
        <w:pStyle w:val="ScheduleUntitledsubclause2"/>
        <w:spacing w:before="60"/>
        <w:rPr>
          <w:szCs w:val="22"/>
        </w:rPr>
      </w:pPr>
      <w:bookmarkStart w:id="196" w:name="a480919"/>
      <w:r w:rsidRPr="00DC6D61">
        <w:rPr>
          <w:szCs w:val="22"/>
        </w:rPr>
        <w:t>no notice of an intention to appoint an administrator has been given by the relevant company, its directors or by a qualifying floating charge holder (as defined in paragraph 14 of Schedule B1 to the Insolvency Act 1986).</w:t>
      </w:r>
      <w:bookmarkEnd w:id="196"/>
    </w:p>
    <w:p w14:paraId="2F7B7542" w14:textId="77777777" w:rsidR="00DC6D61" w:rsidRPr="00DC6D61" w:rsidRDefault="00DC6D61" w:rsidP="00DC6D61">
      <w:pPr>
        <w:pStyle w:val="ScheduleUntitledsubclause1"/>
        <w:rPr>
          <w:szCs w:val="22"/>
        </w:rPr>
      </w:pPr>
      <w:bookmarkStart w:id="197" w:name="a502592"/>
      <w:r w:rsidRPr="00DC6D61">
        <w:rPr>
          <w:szCs w:val="22"/>
        </w:rPr>
        <w:t>No distress, execution or other process has been lev</w:t>
      </w:r>
      <w:r w:rsidR="0030286C">
        <w:rPr>
          <w:szCs w:val="22"/>
        </w:rPr>
        <w:t>ied on an asset of the Company or any of the Subsidiaries</w:t>
      </w:r>
      <w:r w:rsidRPr="00DC6D61">
        <w:rPr>
          <w:szCs w:val="22"/>
        </w:rPr>
        <w:t>.</w:t>
      </w:r>
      <w:bookmarkEnd w:id="197"/>
    </w:p>
    <w:p w14:paraId="2E4E2857" w14:textId="77777777" w:rsidR="00DC6D61" w:rsidRPr="00DC6D61" w:rsidRDefault="00DC6D61">
      <w:r w:rsidRPr="00DC6D61">
        <w:br w:type="page"/>
      </w:r>
    </w:p>
    <w:p w14:paraId="076E5066" w14:textId="77777777" w:rsidR="00DC6D61" w:rsidRPr="00DC6D61" w:rsidRDefault="00DC6D61"/>
    <w:tbl>
      <w:tblPr>
        <w:tblW w:w="5000" w:type="pct"/>
        <w:tblLook w:val="04A0" w:firstRow="1" w:lastRow="0" w:firstColumn="1" w:lastColumn="0" w:noHBand="0" w:noVBand="1"/>
      </w:tblPr>
      <w:tblGrid>
        <w:gridCol w:w="3121"/>
        <w:gridCol w:w="7"/>
        <w:gridCol w:w="3113"/>
        <w:gridCol w:w="3119"/>
      </w:tblGrid>
      <w:tr w:rsidR="00DC6D61" w:rsidRPr="00170081" w14:paraId="36C4CC78" w14:textId="77777777" w:rsidTr="00605C94">
        <w:tc>
          <w:tcPr>
            <w:tcW w:w="1667" w:type="pct"/>
            <w:tcBorders>
              <w:top w:val="nil"/>
              <w:left w:val="nil"/>
              <w:bottom w:val="nil"/>
              <w:right w:val="nil"/>
            </w:tcBorders>
            <w:shd w:val="clear" w:color="auto" w:fill="auto"/>
          </w:tcPr>
          <w:p w14:paraId="2E0F14C6" w14:textId="5F3D4F05" w:rsidR="00DC6D61" w:rsidRPr="0030701F" w:rsidRDefault="00DC6D61" w:rsidP="00DC6D61">
            <w:pPr>
              <w:pStyle w:val="Paragraph"/>
              <w:jc w:val="left"/>
              <w:rPr>
                <w:szCs w:val="22"/>
              </w:rPr>
            </w:pPr>
            <w:r w:rsidRPr="0030701F">
              <w:rPr>
                <w:szCs w:val="22"/>
              </w:rPr>
              <w:t xml:space="preserve">Signed by </w:t>
            </w:r>
            <w:r w:rsidR="00605C94">
              <w:rPr>
                <w:szCs w:val="22"/>
              </w:rPr>
              <w:t xml:space="preserve">Sanjeet Manek </w:t>
            </w:r>
            <w:r w:rsidRPr="0030701F">
              <w:rPr>
                <w:szCs w:val="22"/>
              </w:rPr>
              <w:t xml:space="preserve">for and on behalf of </w:t>
            </w:r>
            <w:r w:rsidR="00605C94" w:rsidRPr="00B27B51">
              <w:rPr>
                <w:b/>
                <w:szCs w:val="22"/>
              </w:rPr>
              <w:t>DAI (UK) Pension Scheme – S Manek</w:t>
            </w:r>
          </w:p>
        </w:tc>
        <w:tc>
          <w:tcPr>
            <w:tcW w:w="1667" w:type="pct"/>
            <w:gridSpan w:val="2"/>
            <w:tcBorders>
              <w:top w:val="nil"/>
              <w:left w:val="nil"/>
              <w:bottom w:val="nil"/>
              <w:right w:val="nil"/>
            </w:tcBorders>
            <w:shd w:val="clear" w:color="auto" w:fill="auto"/>
          </w:tcPr>
          <w:p w14:paraId="139CC0DB" w14:textId="77777777" w:rsidR="00DC6D61" w:rsidRPr="0030701F" w:rsidRDefault="00DC6D61" w:rsidP="00DC6D61">
            <w:pPr>
              <w:spacing w:after="0"/>
            </w:pPr>
          </w:p>
        </w:tc>
        <w:tc>
          <w:tcPr>
            <w:tcW w:w="1666" w:type="pct"/>
            <w:tcBorders>
              <w:top w:val="nil"/>
              <w:left w:val="nil"/>
              <w:bottom w:val="nil"/>
              <w:right w:val="nil"/>
            </w:tcBorders>
            <w:shd w:val="clear" w:color="auto" w:fill="auto"/>
          </w:tcPr>
          <w:p w14:paraId="0F332DF6" w14:textId="77777777" w:rsidR="00B27B51" w:rsidRDefault="00B27B51" w:rsidP="00DC6D61">
            <w:pPr>
              <w:pStyle w:val="Paragraph"/>
              <w:jc w:val="left"/>
              <w:rPr>
                <w:szCs w:val="22"/>
              </w:rPr>
            </w:pPr>
          </w:p>
          <w:p w14:paraId="1D253090" w14:textId="51DE63D2" w:rsidR="00DC6D61" w:rsidRPr="0030701F" w:rsidRDefault="00605C94" w:rsidP="00DC6D61">
            <w:pPr>
              <w:pStyle w:val="Paragraph"/>
              <w:jc w:val="left"/>
              <w:rPr>
                <w:szCs w:val="22"/>
              </w:rPr>
            </w:pPr>
            <w:r>
              <w:rPr>
                <w:szCs w:val="22"/>
              </w:rPr>
              <w:t>Trustee</w:t>
            </w:r>
          </w:p>
        </w:tc>
      </w:tr>
      <w:tr w:rsidR="00DC6D61" w:rsidRPr="00170081" w14:paraId="56C35E72" w14:textId="77777777" w:rsidTr="00605C94">
        <w:tc>
          <w:tcPr>
            <w:tcW w:w="5000" w:type="pct"/>
            <w:gridSpan w:val="4"/>
            <w:tcBorders>
              <w:top w:val="nil"/>
              <w:left w:val="nil"/>
              <w:bottom w:val="nil"/>
              <w:right w:val="nil"/>
            </w:tcBorders>
            <w:shd w:val="clear" w:color="auto" w:fill="auto"/>
          </w:tcPr>
          <w:p w14:paraId="38B6C57F" w14:textId="77777777" w:rsidR="00DC6D61" w:rsidRPr="0030701F" w:rsidRDefault="00DC6D61" w:rsidP="00DC6D61">
            <w:pPr>
              <w:spacing w:after="0"/>
            </w:pPr>
          </w:p>
        </w:tc>
      </w:tr>
      <w:tr w:rsidR="00DC6D61" w:rsidRPr="00170081" w14:paraId="45DD2EB8" w14:textId="77777777" w:rsidTr="00605C94">
        <w:tc>
          <w:tcPr>
            <w:tcW w:w="1667" w:type="pct"/>
            <w:tcBorders>
              <w:top w:val="nil"/>
              <w:left w:val="nil"/>
              <w:bottom w:val="nil"/>
              <w:right w:val="nil"/>
            </w:tcBorders>
            <w:shd w:val="clear" w:color="auto" w:fill="auto"/>
          </w:tcPr>
          <w:p w14:paraId="051FAD24" w14:textId="77777777" w:rsidR="00605C94" w:rsidRDefault="00605C94" w:rsidP="00DC6D61">
            <w:pPr>
              <w:pStyle w:val="Paragraph"/>
              <w:jc w:val="left"/>
              <w:rPr>
                <w:szCs w:val="22"/>
              </w:rPr>
            </w:pPr>
          </w:p>
          <w:p w14:paraId="200B2165" w14:textId="27CA96EB" w:rsidR="00DC6D61" w:rsidRPr="0030701F" w:rsidRDefault="00DC6D61" w:rsidP="00DC6D61">
            <w:pPr>
              <w:pStyle w:val="Paragraph"/>
              <w:jc w:val="left"/>
              <w:rPr>
                <w:szCs w:val="22"/>
              </w:rPr>
            </w:pPr>
            <w:r w:rsidRPr="0030701F">
              <w:rPr>
                <w:szCs w:val="22"/>
              </w:rPr>
              <w:t xml:space="preserve">Signed by </w:t>
            </w:r>
            <w:r w:rsidR="00630B78" w:rsidRPr="0030701F">
              <w:rPr>
                <w:szCs w:val="22"/>
              </w:rPr>
              <w:t xml:space="preserve">Rakesh </w:t>
            </w:r>
            <w:proofErr w:type="spellStart"/>
            <w:r w:rsidR="00630B78" w:rsidRPr="0030701F">
              <w:rPr>
                <w:szCs w:val="22"/>
              </w:rPr>
              <w:t>Majithia</w:t>
            </w:r>
            <w:proofErr w:type="spellEnd"/>
            <w:r w:rsidR="00630B78" w:rsidRPr="0030701F">
              <w:rPr>
                <w:szCs w:val="22"/>
              </w:rPr>
              <w:t xml:space="preserve"> for and on behalf of ARAM CAPITAL LIMITED (</w:t>
            </w:r>
            <w:r w:rsidR="00630B78" w:rsidRPr="0030701F">
              <w:rPr>
                <w:b/>
                <w:bCs/>
                <w:szCs w:val="22"/>
              </w:rPr>
              <w:t>Company)</w:t>
            </w:r>
          </w:p>
        </w:tc>
        <w:tc>
          <w:tcPr>
            <w:tcW w:w="1667" w:type="pct"/>
            <w:gridSpan w:val="2"/>
            <w:tcBorders>
              <w:top w:val="nil"/>
              <w:left w:val="nil"/>
              <w:bottom w:val="nil"/>
              <w:right w:val="nil"/>
            </w:tcBorders>
            <w:shd w:val="clear" w:color="auto" w:fill="auto"/>
          </w:tcPr>
          <w:p w14:paraId="660CDB55" w14:textId="77777777" w:rsidR="00DC6D61" w:rsidRPr="0030701F" w:rsidRDefault="00DC6D61" w:rsidP="00DC6D61">
            <w:pPr>
              <w:spacing w:after="0"/>
            </w:pPr>
          </w:p>
        </w:tc>
        <w:tc>
          <w:tcPr>
            <w:tcW w:w="1666" w:type="pct"/>
            <w:tcBorders>
              <w:top w:val="nil"/>
              <w:left w:val="nil"/>
              <w:bottom w:val="nil"/>
              <w:right w:val="nil"/>
            </w:tcBorders>
            <w:shd w:val="clear" w:color="auto" w:fill="auto"/>
          </w:tcPr>
          <w:p w14:paraId="16473C33" w14:textId="3976DEC1" w:rsidR="00DC6D61" w:rsidRPr="0030701F" w:rsidRDefault="00DC6D61" w:rsidP="00DC6D61">
            <w:pPr>
              <w:pStyle w:val="Paragraph"/>
              <w:jc w:val="left"/>
              <w:rPr>
                <w:szCs w:val="22"/>
              </w:rPr>
            </w:pPr>
          </w:p>
        </w:tc>
      </w:tr>
      <w:tr w:rsidR="00DC6D61" w:rsidRPr="0030701F" w14:paraId="6F1EB505" w14:textId="77777777" w:rsidTr="00605C94">
        <w:trPr>
          <w:gridAfter w:val="3"/>
          <w:wAfter w:w="3333" w:type="pct"/>
        </w:trPr>
        <w:tc>
          <w:tcPr>
            <w:tcW w:w="1667" w:type="pct"/>
            <w:tcBorders>
              <w:top w:val="nil"/>
              <w:left w:val="nil"/>
              <w:bottom w:val="nil"/>
              <w:right w:val="nil"/>
            </w:tcBorders>
            <w:shd w:val="clear" w:color="auto" w:fill="auto"/>
          </w:tcPr>
          <w:p w14:paraId="5156198A" w14:textId="77777777" w:rsidR="00DC6D61" w:rsidRPr="0030701F" w:rsidRDefault="00DC6D61" w:rsidP="00DC6D61">
            <w:pPr>
              <w:spacing w:after="0"/>
            </w:pPr>
          </w:p>
        </w:tc>
      </w:tr>
      <w:tr w:rsidR="00DC6D61" w:rsidRPr="00170081" w14:paraId="6FD3685A" w14:textId="77777777" w:rsidTr="00605C94">
        <w:tc>
          <w:tcPr>
            <w:tcW w:w="5000" w:type="pct"/>
            <w:gridSpan w:val="4"/>
            <w:tcBorders>
              <w:top w:val="nil"/>
              <w:left w:val="nil"/>
              <w:bottom w:val="nil"/>
              <w:right w:val="nil"/>
            </w:tcBorders>
            <w:shd w:val="clear" w:color="auto" w:fill="auto"/>
          </w:tcPr>
          <w:p w14:paraId="0813849E" w14:textId="77777777" w:rsidR="00DC6D61" w:rsidRPr="0030701F" w:rsidRDefault="00DC6D61" w:rsidP="00DC6D61">
            <w:pPr>
              <w:spacing w:after="0"/>
            </w:pPr>
          </w:p>
        </w:tc>
      </w:tr>
      <w:tr w:rsidR="00DC6D61" w:rsidRPr="00170081" w14:paraId="350A9C89" w14:textId="77777777" w:rsidTr="00605C94">
        <w:tc>
          <w:tcPr>
            <w:tcW w:w="1667" w:type="pct"/>
            <w:tcBorders>
              <w:top w:val="nil"/>
              <w:left w:val="nil"/>
              <w:bottom w:val="nil"/>
              <w:right w:val="nil"/>
            </w:tcBorders>
            <w:shd w:val="clear" w:color="auto" w:fill="auto"/>
          </w:tcPr>
          <w:p w14:paraId="1C57456D" w14:textId="220C8C11" w:rsidR="00DC6D61" w:rsidRPr="0030701F" w:rsidRDefault="00DC6D61" w:rsidP="00DC6D61">
            <w:pPr>
              <w:pStyle w:val="Paragraph"/>
              <w:jc w:val="left"/>
              <w:rPr>
                <w:szCs w:val="22"/>
              </w:rPr>
            </w:pPr>
            <w:r w:rsidRPr="0030701F">
              <w:rPr>
                <w:szCs w:val="22"/>
              </w:rPr>
              <w:t xml:space="preserve">Signed by </w:t>
            </w:r>
            <w:r w:rsidR="0030701F">
              <w:rPr>
                <w:szCs w:val="22"/>
              </w:rPr>
              <w:t>Philippe Richelle</w:t>
            </w:r>
            <w:r w:rsidRPr="0030701F">
              <w:rPr>
                <w:szCs w:val="22"/>
              </w:rPr>
              <w:t xml:space="preserve"> for and on behalf of </w:t>
            </w:r>
            <w:r w:rsidR="00630B78" w:rsidRPr="0030701F">
              <w:rPr>
                <w:szCs w:val="22"/>
              </w:rPr>
              <w:t>Fine Holdings – Lux Co (</w:t>
            </w:r>
            <w:r w:rsidR="00630B78" w:rsidRPr="0030701F">
              <w:rPr>
                <w:b/>
                <w:bCs/>
                <w:szCs w:val="22"/>
              </w:rPr>
              <w:t>Fine Holdings)</w:t>
            </w:r>
          </w:p>
        </w:tc>
        <w:tc>
          <w:tcPr>
            <w:tcW w:w="1667" w:type="pct"/>
            <w:gridSpan w:val="2"/>
            <w:tcBorders>
              <w:top w:val="nil"/>
              <w:left w:val="nil"/>
              <w:bottom w:val="nil"/>
              <w:right w:val="nil"/>
            </w:tcBorders>
            <w:shd w:val="clear" w:color="auto" w:fill="auto"/>
          </w:tcPr>
          <w:p w14:paraId="5B0F1C78" w14:textId="77777777" w:rsidR="00DC6D61" w:rsidRPr="0030701F" w:rsidRDefault="00DC6D61" w:rsidP="00DC6D61">
            <w:pPr>
              <w:spacing w:after="0"/>
            </w:pPr>
          </w:p>
        </w:tc>
        <w:tc>
          <w:tcPr>
            <w:tcW w:w="1666" w:type="pct"/>
            <w:tcBorders>
              <w:top w:val="nil"/>
              <w:left w:val="nil"/>
              <w:bottom w:val="nil"/>
              <w:right w:val="nil"/>
            </w:tcBorders>
            <w:shd w:val="clear" w:color="auto" w:fill="auto"/>
          </w:tcPr>
          <w:p w14:paraId="2E4967A7" w14:textId="77777777" w:rsidR="00B27B51" w:rsidRDefault="00B27B51" w:rsidP="00DC6D61">
            <w:pPr>
              <w:pStyle w:val="Paragraph"/>
              <w:jc w:val="left"/>
              <w:rPr>
                <w:szCs w:val="22"/>
              </w:rPr>
            </w:pPr>
          </w:p>
          <w:p w14:paraId="16EA494C" w14:textId="511A2ECF" w:rsidR="00DC6D61" w:rsidRPr="0030701F" w:rsidRDefault="00DC6D61" w:rsidP="00DC6D61">
            <w:pPr>
              <w:pStyle w:val="Paragraph"/>
              <w:jc w:val="left"/>
              <w:rPr>
                <w:szCs w:val="22"/>
              </w:rPr>
            </w:pPr>
            <w:r w:rsidRPr="0030701F">
              <w:rPr>
                <w:szCs w:val="22"/>
              </w:rPr>
              <w:t>Director</w:t>
            </w:r>
          </w:p>
        </w:tc>
      </w:tr>
      <w:tr w:rsidR="00DC6D61" w:rsidRPr="0030701F" w14:paraId="4875D37E" w14:textId="77777777" w:rsidTr="00605C94">
        <w:trPr>
          <w:gridAfter w:val="3"/>
          <w:wAfter w:w="3333" w:type="pct"/>
        </w:trPr>
        <w:tc>
          <w:tcPr>
            <w:tcW w:w="1667" w:type="pct"/>
            <w:tcBorders>
              <w:top w:val="nil"/>
              <w:left w:val="nil"/>
              <w:bottom w:val="nil"/>
              <w:right w:val="nil"/>
            </w:tcBorders>
            <w:shd w:val="clear" w:color="auto" w:fill="auto"/>
          </w:tcPr>
          <w:p w14:paraId="732408E3" w14:textId="77777777" w:rsidR="00DC6D61" w:rsidRPr="0030701F" w:rsidRDefault="00DC6D61" w:rsidP="00DC6D61">
            <w:pPr>
              <w:spacing w:after="0"/>
            </w:pPr>
          </w:p>
        </w:tc>
      </w:tr>
      <w:tr w:rsidR="00DC6D61" w:rsidRPr="00170081" w14:paraId="785282BE" w14:textId="77777777" w:rsidTr="00605C94">
        <w:tc>
          <w:tcPr>
            <w:tcW w:w="5000" w:type="pct"/>
            <w:gridSpan w:val="4"/>
            <w:tcBorders>
              <w:top w:val="nil"/>
              <w:left w:val="nil"/>
              <w:bottom w:val="nil"/>
              <w:right w:val="nil"/>
            </w:tcBorders>
            <w:shd w:val="clear" w:color="auto" w:fill="auto"/>
          </w:tcPr>
          <w:p w14:paraId="6B3F5952" w14:textId="77777777" w:rsidR="00DC6D61" w:rsidRPr="0030701F" w:rsidRDefault="00DC6D61" w:rsidP="00DC6D61">
            <w:pPr>
              <w:spacing w:after="0"/>
            </w:pPr>
          </w:p>
        </w:tc>
      </w:tr>
      <w:tr w:rsidR="00DC6D61" w:rsidRPr="00170081" w14:paraId="7A822E65" w14:textId="77777777" w:rsidTr="00605C94">
        <w:tc>
          <w:tcPr>
            <w:tcW w:w="1671" w:type="pct"/>
            <w:gridSpan w:val="2"/>
            <w:shd w:val="clear" w:color="auto" w:fill="auto"/>
          </w:tcPr>
          <w:p w14:paraId="106E98DB" w14:textId="77777777" w:rsidR="00DC6D61" w:rsidRPr="0030701F" w:rsidRDefault="00DC6D61" w:rsidP="00DC6D61">
            <w:pPr>
              <w:pStyle w:val="Paragraph"/>
              <w:jc w:val="left"/>
              <w:rPr>
                <w:szCs w:val="22"/>
              </w:rPr>
            </w:pPr>
            <w:r w:rsidRPr="0030701F">
              <w:rPr>
                <w:szCs w:val="22"/>
              </w:rPr>
              <w:t xml:space="preserve">Signed by </w:t>
            </w:r>
            <w:r w:rsidR="00630B78" w:rsidRPr="0030701F">
              <w:rPr>
                <w:szCs w:val="22"/>
              </w:rPr>
              <w:t xml:space="preserve">Rakesh </w:t>
            </w:r>
            <w:proofErr w:type="spellStart"/>
            <w:r w:rsidR="00630B78" w:rsidRPr="0030701F">
              <w:rPr>
                <w:szCs w:val="22"/>
              </w:rPr>
              <w:t>Majithia</w:t>
            </w:r>
            <w:proofErr w:type="spellEnd"/>
            <w:r w:rsidR="00630B78" w:rsidRPr="0030701F">
              <w:rPr>
                <w:szCs w:val="22"/>
              </w:rPr>
              <w:t xml:space="preserve"> [</w:t>
            </w:r>
            <w:r w:rsidR="00630B78" w:rsidRPr="0030701F">
              <w:rPr>
                <w:b/>
                <w:bCs/>
                <w:szCs w:val="22"/>
              </w:rPr>
              <w:t>Founder</w:t>
            </w:r>
            <w:r w:rsidRPr="0030701F">
              <w:rPr>
                <w:szCs w:val="22"/>
              </w:rPr>
              <w:t>]</w:t>
            </w:r>
          </w:p>
        </w:tc>
        <w:tc>
          <w:tcPr>
            <w:tcW w:w="1663" w:type="pct"/>
            <w:shd w:val="clear" w:color="auto" w:fill="auto"/>
          </w:tcPr>
          <w:p w14:paraId="7DEAB756" w14:textId="77777777" w:rsidR="00DC6D61" w:rsidRPr="0030701F" w:rsidRDefault="00DC6D61" w:rsidP="00DC6D61">
            <w:pPr>
              <w:pStyle w:val="Paragraph"/>
              <w:rPr>
                <w:szCs w:val="22"/>
              </w:rPr>
            </w:pPr>
          </w:p>
        </w:tc>
        <w:tc>
          <w:tcPr>
            <w:tcW w:w="1666" w:type="pct"/>
            <w:shd w:val="clear" w:color="auto" w:fill="auto"/>
          </w:tcPr>
          <w:p w14:paraId="30885DC5" w14:textId="61D0CB3F" w:rsidR="00DC6D61" w:rsidRPr="0030701F" w:rsidRDefault="00DC6D61" w:rsidP="00DC6D61">
            <w:pPr>
              <w:pStyle w:val="Paragraph"/>
              <w:jc w:val="left"/>
              <w:rPr>
                <w:szCs w:val="22"/>
              </w:rPr>
            </w:pPr>
          </w:p>
        </w:tc>
      </w:tr>
      <w:tr w:rsidR="00DC6D61" w:rsidRPr="00170081" w14:paraId="72AC24C6" w14:textId="77777777" w:rsidTr="00605C94">
        <w:tc>
          <w:tcPr>
            <w:tcW w:w="1671" w:type="pct"/>
            <w:gridSpan w:val="2"/>
            <w:shd w:val="clear" w:color="auto" w:fill="auto"/>
          </w:tcPr>
          <w:p w14:paraId="6F3AE51B" w14:textId="77777777" w:rsidR="00DC6D61" w:rsidRPr="0030701F" w:rsidRDefault="00DC6D61" w:rsidP="00DC6D61">
            <w:pPr>
              <w:pStyle w:val="Paragraph"/>
              <w:jc w:val="left"/>
              <w:rPr>
                <w:szCs w:val="22"/>
              </w:rPr>
            </w:pPr>
            <w:r w:rsidRPr="0030701F">
              <w:rPr>
                <w:szCs w:val="22"/>
              </w:rPr>
              <w:t xml:space="preserve">Signed by </w:t>
            </w:r>
            <w:proofErr w:type="spellStart"/>
            <w:r w:rsidR="00630B78" w:rsidRPr="0030701F">
              <w:rPr>
                <w:szCs w:val="22"/>
              </w:rPr>
              <w:t>Aneil</w:t>
            </w:r>
            <w:proofErr w:type="spellEnd"/>
            <w:r w:rsidR="00630B78" w:rsidRPr="0030701F">
              <w:rPr>
                <w:szCs w:val="22"/>
              </w:rPr>
              <w:t xml:space="preserve"> Anand [</w:t>
            </w:r>
            <w:r w:rsidRPr="0030701F">
              <w:rPr>
                <w:b/>
                <w:szCs w:val="22"/>
              </w:rPr>
              <w:t>Founder</w:t>
            </w:r>
            <w:r w:rsidRPr="0030701F">
              <w:rPr>
                <w:szCs w:val="22"/>
              </w:rPr>
              <w:t>]</w:t>
            </w:r>
          </w:p>
        </w:tc>
        <w:tc>
          <w:tcPr>
            <w:tcW w:w="1663" w:type="pct"/>
            <w:shd w:val="clear" w:color="auto" w:fill="auto"/>
          </w:tcPr>
          <w:p w14:paraId="417425EF" w14:textId="77777777" w:rsidR="00DC6D61" w:rsidRPr="0030701F" w:rsidRDefault="00DC6D61" w:rsidP="00DC6D61">
            <w:pPr>
              <w:pStyle w:val="Paragraph"/>
              <w:rPr>
                <w:szCs w:val="22"/>
              </w:rPr>
            </w:pPr>
          </w:p>
        </w:tc>
        <w:tc>
          <w:tcPr>
            <w:tcW w:w="1666" w:type="pct"/>
            <w:shd w:val="clear" w:color="auto" w:fill="auto"/>
          </w:tcPr>
          <w:p w14:paraId="1FE015AC" w14:textId="22120EF9" w:rsidR="00DC6D61" w:rsidRPr="0030701F" w:rsidRDefault="00DC6D61" w:rsidP="00DC6D61">
            <w:pPr>
              <w:pStyle w:val="Paragraph"/>
              <w:jc w:val="left"/>
              <w:rPr>
                <w:szCs w:val="22"/>
              </w:rPr>
            </w:pPr>
          </w:p>
        </w:tc>
      </w:tr>
      <w:tr w:rsidR="00DC6D61" w:rsidRPr="00170081" w14:paraId="3A03EAC3" w14:textId="77777777" w:rsidTr="00605C94">
        <w:tc>
          <w:tcPr>
            <w:tcW w:w="1671" w:type="pct"/>
            <w:gridSpan w:val="2"/>
            <w:shd w:val="clear" w:color="auto" w:fill="auto"/>
          </w:tcPr>
          <w:p w14:paraId="510BB019" w14:textId="77777777" w:rsidR="00DC6D61" w:rsidRPr="0030701F" w:rsidRDefault="00DC6D61" w:rsidP="00DC6D61">
            <w:pPr>
              <w:pStyle w:val="Paragraph"/>
              <w:jc w:val="left"/>
              <w:rPr>
                <w:szCs w:val="22"/>
              </w:rPr>
            </w:pPr>
          </w:p>
        </w:tc>
        <w:tc>
          <w:tcPr>
            <w:tcW w:w="1663" w:type="pct"/>
            <w:shd w:val="clear" w:color="auto" w:fill="auto"/>
          </w:tcPr>
          <w:p w14:paraId="486F85C6" w14:textId="77777777" w:rsidR="00DC6D61" w:rsidRPr="0030701F" w:rsidRDefault="00DC6D61" w:rsidP="00DC6D61">
            <w:pPr>
              <w:pStyle w:val="Paragraph"/>
              <w:rPr>
                <w:szCs w:val="22"/>
              </w:rPr>
            </w:pPr>
          </w:p>
        </w:tc>
        <w:tc>
          <w:tcPr>
            <w:tcW w:w="1666" w:type="pct"/>
            <w:shd w:val="clear" w:color="auto" w:fill="auto"/>
          </w:tcPr>
          <w:p w14:paraId="796BDCD6" w14:textId="77777777" w:rsidR="00DC6D61" w:rsidRPr="0030701F" w:rsidRDefault="00DC6D61" w:rsidP="00DC6D61">
            <w:pPr>
              <w:pStyle w:val="Paragraph"/>
              <w:jc w:val="left"/>
              <w:rPr>
                <w:szCs w:val="22"/>
              </w:rPr>
            </w:pPr>
          </w:p>
        </w:tc>
      </w:tr>
    </w:tbl>
    <w:p w14:paraId="43521FC5" w14:textId="77777777" w:rsidR="00DC6D61" w:rsidRPr="00DC6D61" w:rsidRDefault="00DC6D61"/>
    <w:sectPr w:rsidR="00DC6D61" w:rsidRPr="00DC6D61">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255BC" w14:textId="77777777" w:rsidR="004612EE" w:rsidRDefault="004612EE">
      <w:pPr>
        <w:spacing w:after="0" w:line="240" w:lineRule="auto"/>
      </w:pPr>
      <w:r>
        <w:separator/>
      </w:r>
    </w:p>
  </w:endnote>
  <w:endnote w:type="continuationSeparator" w:id="0">
    <w:p w14:paraId="624459F7" w14:textId="77777777" w:rsidR="004612EE" w:rsidRDefault="004612EE">
      <w:pPr>
        <w:spacing w:after="0" w:line="240" w:lineRule="auto"/>
      </w:pPr>
      <w:r>
        <w:continuationSeparator/>
      </w:r>
    </w:p>
  </w:endnote>
  <w:endnote w:type="continuationNotice" w:id="1">
    <w:p w14:paraId="6C88C1DE" w14:textId="77777777" w:rsidR="004612EE" w:rsidRDefault="004612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B45E3" w14:textId="77777777" w:rsidR="005B08E6" w:rsidRDefault="005B08E6">
    <w:pPr>
      <w:jc w:val="center"/>
    </w:pPr>
    <w:r>
      <w:fldChar w:fldCharType="begin"/>
    </w:r>
    <w:r>
      <w:instrText>PAGE</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46560" w14:textId="77777777" w:rsidR="004612EE" w:rsidRDefault="004612EE">
      <w:pPr>
        <w:spacing w:after="0" w:line="240" w:lineRule="auto"/>
      </w:pPr>
      <w:r>
        <w:separator/>
      </w:r>
    </w:p>
  </w:footnote>
  <w:footnote w:type="continuationSeparator" w:id="0">
    <w:p w14:paraId="0E22AD76" w14:textId="77777777" w:rsidR="004612EE" w:rsidRDefault="004612EE">
      <w:pPr>
        <w:spacing w:after="0" w:line="240" w:lineRule="auto"/>
      </w:pPr>
      <w:r>
        <w:continuationSeparator/>
      </w:r>
    </w:p>
  </w:footnote>
  <w:footnote w:type="continuationNotice" w:id="1">
    <w:p w14:paraId="3DB68FBC" w14:textId="77777777" w:rsidR="004612EE" w:rsidRDefault="004612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48A44000"/>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ascii="Calibri" w:hAnsi="Calibri"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DAFC872A">
      <w:start w:val="1"/>
      <w:numFmt w:val="bullet"/>
      <w:pStyle w:val="DefinedTermBullet"/>
      <w:lvlText w:val=""/>
      <w:lvlJc w:val="left"/>
      <w:pPr>
        <w:ind w:left="1440" w:hanging="360"/>
      </w:pPr>
      <w:rPr>
        <w:rFonts w:ascii="Symbol" w:hAnsi="Symbol" w:hint="default"/>
        <w:color w:val="000000"/>
      </w:rPr>
    </w:lvl>
    <w:lvl w:ilvl="1" w:tplc="FF72554C" w:tentative="1">
      <w:start w:val="1"/>
      <w:numFmt w:val="bullet"/>
      <w:lvlText w:val="o"/>
      <w:lvlJc w:val="left"/>
      <w:pPr>
        <w:ind w:left="2160" w:hanging="360"/>
      </w:pPr>
      <w:rPr>
        <w:rFonts w:ascii="Courier New" w:hAnsi="Courier New" w:cs="Courier New" w:hint="default"/>
      </w:rPr>
    </w:lvl>
    <w:lvl w:ilvl="2" w:tplc="9A729054" w:tentative="1">
      <w:start w:val="1"/>
      <w:numFmt w:val="bullet"/>
      <w:lvlText w:val=""/>
      <w:lvlJc w:val="left"/>
      <w:pPr>
        <w:ind w:left="2880" w:hanging="360"/>
      </w:pPr>
      <w:rPr>
        <w:rFonts w:ascii="Wingdings" w:hAnsi="Wingdings" w:hint="default"/>
      </w:rPr>
    </w:lvl>
    <w:lvl w:ilvl="3" w:tplc="7D0A6CDC" w:tentative="1">
      <w:start w:val="1"/>
      <w:numFmt w:val="bullet"/>
      <w:lvlText w:val=""/>
      <w:lvlJc w:val="left"/>
      <w:pPr>
        <w:ind w:left="3600" w:hanging="360"/>
      </w:pPr>
      <w:rPr>
        <w:rFonts w:ascii="Symbol" w:hAnsi="Symbol" w:hint="default"/>
      </w:rPr>
    </w:lvl>
    <w:lvl w:ilvl="4" w:tplc="ACDAAC68" w:tentative="1">
      <w:start w:val="1"/>
      <w:numFmt w:val="bullet"/>
      <w:lvlText w:val="o"/>
      <w:lvlJc w:val="left"/>
      <w:pPr>
        <w:ind w:left="4320" w:hanging="360"/>
      </w:pPr>
      <w:rPr>
        <w:rFonts w:ascii="Courier New" w:hAnsi="Courier New" w:cs="Courier New" w:hint="default"/>
      </w:rPr>
    </w:lvl>
    <w:lvl w:ilvl="5" w:tplc="C7F0BF86" w:tentative="1">
      <w:start w:val="1"/>
      <w:numFmt w:val="bullet"/>
      <w:lvlText w:val=""/>
      <w:lvlJc w:val="left"/>
      <w:pPr>
        <w:ind w:left="5040" w:hanging="360"/>
      </w:pPr>
      <w:rPr>
        <w:rFonts w:ascii="Wingdings" w:hAnsi="Wingdings" w:hint="default"/>
      </w:rPr>
    </w:lvl>
    <w:lvl w:ilvl="6" w:tplc="F8464CEE" w:tentative="1">
      <w:start w:val="1"/>
      <w:numFmt w:val="bullet"/>
      <w:lvlText w:val=""/>
      <w:lvlJc w:val="left"/>
      <w:pPr>
        <w:ind w:left="5760" w:hanging="360"/>
      </w:pPr>
      <w:rPr>
        <w:rFonts w:ascii="Symbol" w:hAnsi="Symbol" w:hint="default"/>
      </w:rPr>
    </w:lvl>
    <w:lvl w:ilvl="7" w:tplc="BCBC2BBC" w:tentative="1">
      <w:start w:val="1"/>
      <w:numFmt w:val="bullet"/>
      <w:lvlText w:val="o"/>
      <w:lvlJc w:val="left"/>
      <w:pPr>
        <w:ind w:left="6480" w:hanging="360"/>
      </w:pPr>
      <w:rPr>
        <w:rFonts w:ascii="Courier New" w:hAnsi="Courier New" w:cs="Courier New" w:hint="default"/>
      </w:rPr>
    </w:lvl>
    <w:lvl w:ilvl="8" w:tplc="387691D6" w:tentative="1">
      <w:start w:val="1"/>
      <w:numFmt w:val="bullet"/>
      <w:lvlText w:val=""/>
      <w:lvlJc w:val="left"/>
      <w:pPr>
        <w:ind w:left="7200" w:hanging="360"/>
      </w:pPr>
      <w:rPr>
        <w:rFonts w:ascii="Wingdings" w:hAnsi="Wingdings" w:hint="default"/>
      </w:rPr>
    </w:lvl>
  </w:abstractNum>
  <w:abstractNum w:abstractNumId="2"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color w:val="000000"/>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color w:val="000000"/>
      </w:rPr>
    </w:lvl>
    <w:lvl w:ilvl="4">
      <w:start w:val="1"/>
      <w:numFmt w:val="lowerLetter"/>
      <w:pStyle w:val="ScheduleUntitledsubclause2"/>
      <w:lvlText w:val="(%5)"/>
      <w:lvlJc w:val="left"/>
      <w:pPr>
        <w:tabs>
          <w:tab w:val="num" w:pos="1555"/>
        </w:tabs>
        <w:ind w:left="1555" w:hanging="561"/>
      </w:pPr>
      <w:rPr>
        <w:rFonts w:hint="default"/>
        <w:color w:val="000000"/>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E82F3A"/>
    <w:multiLevelType w:val="hybridMultilevel"/>
    <w:tmpl w:val="1DF80854"/>
    <w:lvl w:ilvl="0" w:tplc="80CEF0AA">
      <w:start w:val="1"/>
      <w:numFmt w:val="decimal"/>
      <w:pStyle w:val="ScheduleHeading-Single"/>
      <w:lvlText w:val="Schedule"/>
      <w:lvlJc w:val="left"/>
      <w:pPr>
        <w:tabs>
          <w:tab w:val="num" w:pos="720"/>
        </w:tabs>
        <w:ind w:left="720" w:hanging="720"/>
      </w:pPr>
      <w:rPr>
        <w:color w:val="000000"/>
      </w:rPr>
    </w:lvl>
    <w:lvl w:ilvl="1" w:tplc="67F002FA" w:tentative="1">
      <w:start w:val="1"/>
      <w:numFmt w:val="lowerLetter"/>
      <w:lvlText w:val="%2."/>
      <w:lvlJc w:val="left"/>
      <w:pPr>
        <w:tabs>
          <w:tab w:val="num" w:pos="1440"/>
        </w:tabs>
        <w:ind w:left="1440" w:hanging="360"/>
      </w:pPr>
    </w:lvl>
    <w:lvl w:ilvl="2" w:tplc="7660A2F2" w:tentative="1">
      <w:start w:val="1"/>
      <w:numFmt w:val="lowerRoman"/>
      <w:lvlText w:val="%3."/>
      <w:lvlJc w:val="right"/>
      <w:pPr>
        <w:tabs>
          <w:tab w:val="num" w:pos="2160"/>
        </w:tabs>
        <w:ind w:left="2160" w:hanging="180"/>
      </w:pPr>
    </w:lvl>
    <w:lvl w:ilvl="3" w:tplc="8C04E4CC" w:tentative="1">
      <w:start w:val="1"/>
      <w:numFmt w:val="decimal"/>
      <w:lvlText w:val="%4."/>
      <w:lvlJc w:val="left"/>
      <w:pPr>
        <w:tabs>
          <w:tab w:val="num" w:pos="2880"/>
        </w:tabs>
        <w:ind w:left="2880" w:hanging="360"/>
      </w:pPr>
    </w:lvl>
    <w:lvl w:ilvl="4" w:tplc="F3B641EE" w:tentative="1">
      <w:start w:val="1"/>
      <w:numFmt w:val="lowerLetter"/>
      <w:lvlText w:val="%5."/>
      <w:lvlJc w:val="left"/>
      <w:pPr>
        <w:tabs>
          <w:tab w:val="num" w:pos="3600"/>
        </w:tabs>
        <w:ind w:left="3600" w:hanging="360"/>
      </w:pPr>
    </w:lvl>
    <w:lvl w:ilvl="5" w:tplc="D31A4A64" w:tentative="1">
      <w:start w:val="1"/>
      <w:numFmt w:val="lowerRoman"/>
      <w:lvlText w:val="%6."/>
      <w:lvlJc w:val="right"/>
      <w:pPr>
        <w:tabs>
          <w:tab w:val="num" w:pos="4320"/>
        </w:tabs>
        <w:ind w:left="4320" w:hanging="180"/>
      </w:pPr>
    </w:lvl>
    <w:lvl w:ilvl="6" w:tplc="6B7037DA" w:tentative="1">
      <w:start w:val="1"/>
      <w:numFmt w:val="decimal"/>
      <w:lvlText w:val="%7."/>
      <w:lvlJc w:val="left"/>
      <w:pPr>
        <w:tabs>
          <w:tab w:val="num" w:pos="5040"/>
        </w:tabs>
        <w:ind w:left="5040" w:hanging="360"/>
      </w:pPr>
    </w:lvl>
    <w:lvl w:ilvl="7" w:tplc="FD0C5CC6" w:tentative="1">
      <w:start w:val="1"/>
      <w:numFmt w:val="lowerLetter"/>
      <w:lvlText w:val="%8."/>
      <w:lvlJc w:val="left"/>
      <w:pPr>
        <w:tabs>
          <w:tab w:val="num" w:pos="5760"/>
        </w:tabs>
        <w:ind w:left="5760" w:hanging="360"/>
      </w:pPr>
    </w:lvl>
    <w:lvl w:ilvl="8" w:tplc="8312DC5A" w:tentative="1">
      <w:start w:val="1"/>
      <w:numFmt w:val="lowerRoman"/>
      <w:lvlText w:val="%9."/>
      <w:lvlJc w:val="right"/>
      <w:pPr>
        <w:tabs>
          <w:tab w:val="num" w:pos="6480"/>
        </w:tabs>
        <w:ind w:left="6480" w:hanging="180"/>
      </w:pPr>
    </w:lvl>
  </w:abstractNum>
  <w:abstractNum w:abstractNumId="4" w15:restartNumberingAfterBreak="0">
    <w:nsid w:val="25B00E4C"/>
    <w:multiLevelType w:val="hybridMultilevel"/>
    <w:tmpl w:val="97C4AA26"/>
    <w:lvl w:ilvl="0" w:tplc="58088F5C">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303E86" w:tentative="1">
      <w:start w:val="1"/>
      <w:numFmt w:val="lowerLetter"/>
      <w:lvlText w:val="%2."/>
      <w:lvlJc w:val="left"/>
      <w:pPr>
        <w:ind w:left="1440" w:hanging="360"/>
      </w:pPr>
    </w:lvl>
    <w:lvl w:ilvl="2" w:tplc="FE7A118A" w:tentative="1">
      <w:start w:val="1"/>
      <w:numFmt w:val="lowerRoman"/>
      <w:lvlText w:val="%3."/>
      <w:lvlJc w:val="right"/>
      <w:pPr>
        <w:ind w:left="2160" w:hanging="180"/>
      </w:pPr>
    </w:lvl>
    <w:lvl w:ilvl="3" w:tplc="43987558" w:tentative="1">
      <w:start w:val="1"/>
      <w:numFmt w:val="decimal"/>
      <w:lvlText w:val="%4."/>
      <w:lvlJc w:val="left"/>
      <w:pPr>
        <w:ind w:left="2880" w:hanging="360"/>
      </w:pPr>
    </w:lvl>
    <w:lvl w:ilvl="4" w:tplc="2898BD72" w:tentative="1">
      <w:start w:val="1"/>
      <w:numFmt w:val="lowerLetter"/>
      <w:lvlText w:val="%5."/>
      <w:lvlJc w:val="left"/>
      <w:pPr>
        <w:ind w:left="3600" w:hanging="360"/>
      </w:pPr>
    </w:lvl>
    <w:lvl w:ilvl="5" w:tplc="3BAC9898" w:tentative="1">
      <w:start w:val="1"/>
      <w:numFmt w:val="lowerRoman"/>
      <w:lvlText w:val="%6."/>
      <w:lvlJc w:val="right"/>
      <w:pPr>
        <w:ind w:left="4320" w:hanging="180"/>
      </w:pPr>
    </w:lvl>
    <w:lvl w:ilvl="6" w:tplc="A73C4F62" w:tentative="1">
      <w:start w:val="1"/>
      <w:numFmt w:val="decimal"/>
      <w:lvlText w:val="%7."/>
      <w:lvlJc w:val="left"/>
      <w:pPr>
        <w:ind w:left="5040" w:hanging="360"/>
      </w:pPr>
    </w:lvl>
    <w:lvl w:ilvl="7" w:tplc="B3262964" w:tentative="1">
      <w:start w:val="1"/>
      <w:numFmt w:val="lowerLetter"/>
      <w:lvlText w:val="%8."/>
      <w:lvlJc w:val="left"/>
      <w:pPr>
        <w:ind w:left="5760" w:hanging="360"/>
      </w:pPr>
    </w:lvl>
    <w:lvl w:ilvl="8" w:tplc="41DADCD8" w:tentative="1">
      <w:start w:val="1"/>
      <w:numFmt w:val="lowerRoman"/>
      <w:lvlText w:val="%9."/>
      <w:lvlJc w:val="right"/>
      <w:pPr>
        <w:ind w:left="6480" w:hanging="180"/>
      </w:pPr>
    </w:lvl>
  </w:abstractNum>
  <w:abstractNum w:abstractNumId="5" w15:restartNumberingAfterBreak="0">
    <w:nsid w:val="29C94F29"/>
    <w:multiLevelType w:val="hybridMultilevel"/>
    <w:tmpl w:val="4CBC2A34"/>
    <w:lvl w:ilvl="0" w:tplc="09FE91AA">
      <w:start w:val="1"/>
      <w:numFmt w:val="decimal"/>
      <w:pStyle w:val="QuestionParagraph"/>
      <w:lvlText w:val="%1."/>
      <w:lvlJc w:val="left"/>
      <w:pPr>
        <w:ind w:left="720" w:hanging="360"/>
      </w:pPr>
      <w:rPr>
        <w:color w:val="000000"/>
      </w:rPr>
    </w:lvl>
    <w:lvl w:ilvl="1" w:tplc="BBC894C2" w:tentative="1">
      <w:start w:val="1"/>
      <w:numFmt w:val="lowerLetter"/>
      <w:lvlText w:val="%2."/>
      <w:lvlJc w:val="left"/>
      <w:pPr>
        <w:ind w:left="1440" w:hanging="360"/>
      </w:pPr>
    </w:lvl>
    <w:lvl w:ilvl="2" w:tplc="69FED6D4" w:tentative="1">
      <w:start w:val="1"/>
      <w:numFmt w:val="lowerRoman"/>
      <w:lvlText w:val="%3."/>
      <w:lvlJc w:val="right"/>
      <w:pPr>
        <w:ind w:left="2160" w:hanging="180"/>
      </w:pPr>
    </w:lvl>
    <w:lvl w:ilvl="3" w:tplc="20444FE6" w:tentative="1">
      <w:start w:val="1"/>
      <w:numFmt w:val="decimal"/>
      <w:lvlText w:val="%4."/>
      <w:lvlJc w:val="left"/>
      <w:pPr>
        <w:ind w:left="2880" w:hanging="360"/>
      </w:pPr>
    </w:lvl>
    <w:lvl w:ilvl="4" w:tplc="C2A4C9A6" w:tentative="1">
      <w:start w:val="1"/>
      <w:numFmt w:val="lowerLetter"/>
      <w:lvlText w:val="%5."/>
      <w:lvlJc w:val="left"/>
      <w:pPr>
        <w:ind w:left="3600" w:hanging="360"/>
      </w:pPr>
    </w:lvl>
    <w:lvl w:ilvl="5" w:tplc="919C9716" w:tentative="1">
      <w:start w:val="1"/>
      <w:numFmt w:val="lowerRoman"/>
      <w:lvlText w:val="%6."/>
      <w:lvlJc w:val="right"/>
      <w:pPr>
        <w:ind w:left="4320" w:hanging="180"/>
      </w:pPr>
    </w:lvl>
    <w:lvl w:ilvl="6" w:tplc="D458C388" w:tentative="1">
      <w:start w:val="1"/>
      <w:numFmt w:val="decimal"/>
      <w:lvlText w:val="%7."/>
      <w:lvlJc w:val="left"/>
      <w:pPr>
        <w:ind w:left="5040" w:hanging="360"/>
      </w:pPr>
    </w:lvl>
    <w:lvl w:ilvl="7" w:tplc="B23C14E6" w:tentative="1">
      <w:start w:val="1"/>
      <w:numFmt w:val="lowerLetter"/>
      <w:lvlText w:val="%8."/>
      <w:lvlJc w:val="left"/>
      <w:pPr>
        <w:ind w:left="5760" w:hanging="360"/>
      </w:pPr>
    </w:lvl>
    <w:lvl w:ilvl="8" w:tplc="0C4AE306" w:tentative="1">
      <w:start w:val="1"/>
      <w:numFmt w:val="lowerRoman"/>
      <w:lvlText w:val="%9."/>
      <w:lvlJc w:val="right"/>
      <w:pPr>
        <w:ind w:left="6480" w:hanging="180"/>
      </w:pPr>
    </w:lvl>
  </w:abstractNum>
  <w:abstractNum w:abstractNumId="6" w15:restartNumberingAfterBreak="0">
    <w:nsid w:val="310416CA"/>
    <w:multiLevelType w:val="hybridMultilevel"/>
    <w:tmpl w:val="072EDEC8"/>
    <w:lvl w:ilvl="0" w:tplc="00D411DC">
      <w:start w:val="1"/>
      <w:numFmt w:val="bullet"/>
      <w:pStyle w:val="subclause2Bullet2"/>
      <w:lvlText w:val=""/>
      <w:lvlJc w:val="left"/>
      <w:pPr>
        <w:ind w:left="2279" w:hanging="360"/>
      </w:pPr>
      <w:rPr>
        <w:rFonts w:ascii="Symbol" w:hAnsi="Symbol" w:hint="default"/>
        <w:color w:val="000000"/>
      </w:rPr>
    </w:lvl>
    <w:lvl w:ilvl="1" w:tplc="95BE16AC" w:tentative="1">
      <w:start w:val="1"/>
      <w:numFmt w:val="bullet"/>
      <w:lvlText w:val="o"/>
      <w:lvlJc w:val="left"/>
      <w:pPr>
        <w:ind w:left="2999" w:hanging="360"/>
      </w:pPr>
      <w:rPr>
        <w:rFonts w:ascii="Courier New" w:hAnsi="Courier New" w:cs="Courier New" w:hint="default"/>
      </w:rPr>
    </w:lvl>
    <w:lvl w:ilvl="2" w:tplc="03681B9A" w:tentative="1">
      <w:start w:val="1"/>
      <w:numFmt w:val="bullet"/>
      <w:lvlText w:val=""/>
      <w:lvlJc w:val="left"/>
      <w:pPr>
        <w:ind w:left="3719" w:hanging="360"/>
      </w:pPr>
      <w:rPr>
        <w:rFonts w:ascii="Wingdings" w:hAnsi="Wingdings" w:hint="default"/>
      </w:rPr>
    </w:lvl>
    <w:lvl w:ilvl="3" w:tplc="4440C78A" w:tentative="1">
      <w:start w:val="1"/>
      <w:numFmt w:val="bullet"/>
      <w:lvlText w:val=""/>
      <w:lvlJc w:val="left"/>
      <w:pPr>
        <w:ind w:left="4439" w:hanging="360"/>
      </w:pPr>
      <w:rPr>
        <w:rFonts w:ascii="Symbol" w:hAnsi="Symbol" w:hint="default"/>
      </w:rPr>
    </w:lvl>
    <w:lvl w:ilvl="4" w:tplc="7B8ADA86" w:tentative="1">
      <w:start w:val="1"/>
      <w:numFmt w:val="bullet"/>
      <w:lvlText w:val="o"/>
      <w:lvlJc w:val="left"/>
      <w:pPr>
        <w:ind w:left="5159" w:hanging="360"/>
      </w:pPr>
      <w:rPr>
        <w:rFonts w:ascii="Courier New" w:hAnsi="Courier New" w:cs="Courier New" w:hint="default"/>
      </w:rPr>
    </w:lvl>
    <w:lvl w:ilvl="5" w:tplc="00306D42" w:tentative="1">
      <w:start w:val="1"/>
      <w:numFmt w:val="bullet"/>
      <w:lvlText w:val=""/>
      <w:lvlJc w:val="left"/>
      <w:pPr>
        <w:ind w:left="5879" w:hanging="360"/>
      </w:pPr>
      <w:rPr>
        <w:rFonts w:ascii="Wingdings" w:hAnsi="Wingdings" w:hint="default"/>
      </w:rPr>
    </w:lvl>
    <w:lvl w:ilvl="6" w:tplc="D8EA1234" w:tentative="1">
      <w:start w:val="1"/>
      <w:numFmt w:val="bullet"/>
      <w:lvlText w:val=""/>
      <w:lvlJc w:val="left"/>
      <w:pPr>
        <w:ind w:left="6599" w:hanging="360"/>
      </w:pPr>
      <w:rPr>
        <w:rFonts w:ascii="Symbol" w:hAnsi="Symbol" w:hint="default"/>
      </w:rPr>
    </w:lvl>
    <w:lvl w:ilvl="7" w:tplc="988838CA" w:tentative="1">
      <w:start w:val="1"/>
      <w:numFmt w:val="bullet"/>
      <w:lvlText w:val="o"/>
      <w:lvlJc w:val="left"/>
      <w:pPr>
        <w:ind w:left="7319" w:hanging="360"/>
      </w:pPr>
      <w:rPr>
        <w:rFonts w:ascii="Courier New" w:hAnsi="Courier New" w:cs="Courier New" w:hint="default"/>
      </w:rPr>
    </w:lvl>
    <w:lvl w:ilvl="8" w:tplc="EDEACA00" w:tentative="1">
      <w:start w:val="1"/>
      <w:numFmt w:val="bullet"/>
      <w:lvlText w:val=""/>
      <w:lvlJc w:val="left"/>
      <w:pPr>
        <w:ind w:left="8039" w:hanging="360"/>
      </w:pPr>
      <w:rPr>
        <w:rFonts w:ascii="Wingdings" w:hAnsi="Wingdings" w:hint="default"/>
      </w:rPr>
    </w:lvl>
  </w:abstractNum>
  <w:abstractNum w:abstractNumId="7" w15:restartNumberingAfterBreak="0">
    <w:nsid w:val="31E9741F"/>
    <w:multiLevelType w:val="hybridMultilevel"/>
    <w:tmpl w:val="0CAC7D4E"/>
    <w:lvl w:ilvl="0" w:tplc="FCCEF03C">
      <w:start w:val="1"/>
      <w:numFmt w:val="bullet"/>
      <w:pStyle w:val="BulletList2"/>
      <w:lvlText w:val=""/>
      <w:lvlJc w:val="left"/>
      <w:pPr>
        <w:tabs>
          <w:tab w:val="num" w:pos="1077"/>
        </w:tabs>
        <w:ind w:left="1077" w:hanging="357"/>
      </w:pPr>
      <w:rPr>
        <w:rFonts w:ascii="Symbol" w:hAnsi="Symbol" w:hint="default"/>
        <w:color w:val="000000"/>
      </w:rPr>
    </w:lvl>
    <w:lvl w:ilvl="1" w:tplc="BDFE3140" w:tentative="1">
      <w:start w:val="1"/>
      <w:numFmt w:val="bullet"/>
      <w:lvlText w:val="o"/>
      <w:lvlJc w:val="left"/>
      <w:pPr>
        <w:tabs>
          <w:tab w:val="num" w:pos="1440"/>
        </w:tabs>
        <w:ind w:left="1440" w:hanging="360"/>
      </w:pPr>
      <w:rPr>
        <w:rFonts w:ascii="Courier New" w:hAnsi="Courier New" w:cs="Courier New" w:hint="default"/>
      </w:rPr>
    </w:lvl>
    <w:lvl w:ilvl="2" w:tplc="A9F0FF32" w:tentative="1">
      <w:start w:val="1"/>
      <w:numFmt w:val="bullet"/>
      <w:lvlText w:val=""/>
      <w:lvlJc w:val="left"/>
      <w:pPr>
        <w:tabs>
          <w:tab w:val="num" w:pos="2160"/>
        </w:tabs>
        <w:ind w:left="2160" w:hanging="360"/>
      </w:pPr>
      <w:rPr>
        <w:rFonts w:ascii="Wingdings" w:hAnsi="Wingdings" w:hint="default"/>
      </w:rPr>
    </w:lvl>
    <w:lvl w:ilvl="3" w:tplc="B194E710" w:tentative="1">
      <w:start w:val="1"/>
      <w:numFmt w:val="bullet"/>
      <w:lvlText w:val=""/>
      <w:lvlJc w:val="left"/>
      <w:pPr>
        <w:tabs>
          <w:tab w:val="num" w:pos="2880"/>
        </w:tabs>
        <w:ind w:left="2880" w:hanging="360"/>
      </w:pPr>
      <w:rPr>
        <w:rFonts w:ascii="Symbol" w:hAnsi="Symbol" w:hint="default"/>
      </w:rPr>
    </w:lvl>
    <w:lvl w:ilvl="4" w:tplc="D49CDEB4" w:tentative="1">
      <w:start w:val="1"/>
      <w:numFmt w:val="bullet"/>
      <w:lvlText w:val="o"/>
      <w:lvlJc w:val="left"/>
      <w:pPr>
        <w:tabs>
          <w:tab w:val="num" w:pos="3600"/>
        </w:tabs>
        <w:ind w:left="3600" w:hanging="360"/>
      </w:pPr>
      <w:rPr>
        <w:rFonts w:ascii="Courier New" w:hAnsi="Courier New" w:cs="Courier New" w:hint="default"/>
      </w:rPr>
    </w:lvl>
    <w:lvl w:ilvl="5" w:tplc="1D522CC6" w:tentative="1">
      <w:start w:val="1"/>
      <w:numFmt w:val="bullet"/>
      <w:lvlText w:val=""/>
      <w:lvlJc w:val="left"/>
      <w:pPr>
        <w:tabs>
          <w:tab w:val="num" w:pos="4320"/>
        </w:tabs>
        <w:ind w:left="4320" w:hanging="360"/>
      </w:pPr>
      <w:rPr>
        <w:rFonts w:ascii="Wingdings" w:hAnsi="Wingdings" w:hint="default"/>
      </w:rPr>
    </w:lvl>
    <w:lvl w:ilvl="6" w:tplc="0E566B28" w:tentative="1">
      <w:start w:val="1"/>
      <w:numFmt w:val="bullet"/>
      <w:lvlText w:val=""/>
      <w:lvlJc w:val="left"/>
      <w:pPr>
        <w:tabs>
          <w:tab w:val="num" w:pos="5040"/>
        </w:tabs>
        <w:ind w:left="5040" w:hanging="360"/>
      </w:pPr>
      <w:rPr>
        <w:rFonts w:ascii="Symbol" w:hAnsi="Symbol" w:hint="default"/>
      </w:rPr>
    </w:lvl>
    <w:lvl w:ilvl="7" w:tplc="52060BD0" w:tentative="1">
      <w:start w:val="1"/>
      <w:numFmt w:val="bullet"/>
      <w:lvlText w:val="o"/>
      <w:lvlJc w:val="left"/>
      <w:pPr>
        <w:tabs>
          <w:tab w:val="num" w:pos="5760"/>
        </w:tabs>
        <w:ind w:left="5760" w:hanging="360"/>
      </w:pPr>
      <w:rPr>
        <w:rFonts w:ascii="Courier New" w:hAnsi="Courier New" w:cs="Courier New" w:hint="default"/>
      </w:rPr>
    </w:lvl>
    <w:lvl w:ilvl="8" w:tplc="67F2331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1F708630">
      <w:start w:val="1"/>
      <w:numFmt w:val="bullet"/>
      <w:pStyle w:val="Bullet4"/>
      <w:lvlText w:val=""/>
      <w:lvlJc w:val="left"/>
      <w:pPr>
        <w:tabs>
          <w:tab w:val="num" w:pos="2676"/>
        </w:tabs>
        <w:ind w:left="2676" w:hanging="357"/>
      </w:pPr>
      <w:rPr>
        <w:rFonts w:ascii="Symbol" w:hAnsi="Symbol" w:hint="default"/>
        <w:color w:val="000000"/>
      </w:rPr>
    </w:lvl>
    <w:lvl w:ilvl="1" w:tplc="5EFC3C28" w:tentative="1">
      <w:start w:val="1"/>
      <w:numFmt w:val="bullet"/>
      <w:lvlText w:val="o"/>
      <w:lvlJc w:val="left"/>
      <w:pPr>
        <w:tabs>
          <w:tab w:val="num" w:pos="1440"/>
        </w:tabs>
        <w:ind w:left="1440" w:hanging="360"/>
      </w:pPr>
      <w:rPr>
        <w:rFonts w:ascii="Courier New" w:hAnsi="Courier New" w:cs="Courier New" w:hint="default"/>
      </w:rPr>
    </w:lvl>
    <w:lvl w:ilvl="2" w:tplc="4E76843C" w:tentative="1">
      <w:start w:val="1"/>
      <w:numFmt w:val="bullet"/>
      <w:lvlText w:val=""/>
      <w:lvlJc w:val="left"/>
      <w:pPr>
        <w:tabs>
          <w:tab w:val="num" w:pos="2160"/>
        </w:tabs>
        <w:ind w:left="2160" w:hanging="360"/>
      </w:pPr>
      <w:rPr>
        <w:rFonts w:ascii="Wingdings" w:hAnsi="Wingdings" w:hint="default"/>
      </w:rPr>
    </w:lvl>
    <w:lvl w:ilvl="3" w:tplc="9900FF9A" w:tentative="1">
      <w:start w:val="1"/>
      <w:numFmt w:val="bullet"/>
      <w:lvlText w:val=""/>
      <w:lvlJc w:val="left"/>
      <w:pPr>
        <w:tabs>
          <w:tab w:val="num" w:pos="2880"/>
        </w:tabs>
        <w:ind w:left="2880" w:hanging="360"/>
      </w:pPr>
      <w:rPr>
        <w:rFonts w:ascii="Symbol" w:hAnsi="Symbol" w:hint="default"/>
      </w:rPr>
    </w:lvl>
    <w:lvl w:ilvl="4" w:tplc="78DE3B54" w:tentative="1">
      <w:start w:val="1"/>
      <w:numFmt w:val="bullet"/>
      <w:lvlText w:val="o"/>
      <w:lvlJc w:val="left"/>
      <w:pPr>
        <w:tabs>
          <w:tab w:val="num" w:pos="3600"/>
        </w:tabs>
        <w:ind w:left="3600" w:hanging="360"/>
      </w:pPr>
      <w:rPr>
        <w:rFonts w:ascii="Courier New" w:hAnsi="Courier New" w:cs="Courier New" w:hint="default"/>
      </w:rPr>
    </w:lvl>
    <w:lvl w:ilvl="5" w:tplc="837C960A" w:tentative="1">
      <w:start w:val="1"/>
      <w:numFmt w:val="bullet"/>
      <w:lvlText w:val=""/>
      <w:lvlJc w:val="left"/>
      <w:pPr>
        <w:tabs>
          <w:tab w:val="num" w:pos="4320"/>
        </w:tabs>
        <w:ind w:left="4320" w:hanging="360"/>
      </w:pPr>
      <w:rPr>
        <w:rFonts w:ascii="Wingdings" w:hAnsi="Wingdings" w:hint="default"/>
      </w:rPr>
    </w:lvl>
    <w:lvl w:ilvl="6" w:tplc="8B28F3B6" w:tentative="1">
      <w:start w:val="1"/>
      <w:numFmt w:val="bullet"/>
      <w:lvlText w:val=""/>
      <w:lvlJc w:val="left"/>
      <w:pPr>
        <w:tabs>
          <w:tab w:val="num" w:pos="5040"/>
        </w:tabs>
        <w:ind w:left="5040" w:hanging="360"/>
      </w:pPr>
      <w:rPr>
        <w:rFonts w:ascii="Symbol" w:hAnsi="Symbol" w:hint="default"/>
      </w:rPr>
    </w:lvl>
    <w:lvl w:ilvl="7" w:tplc="1C1CE0F4" w:tentative="1">
      <w:start w:val="1"/>
      <w:numFmt w:val="bullet"/>
      <w:lvlText w:val="o"/>
      <w:lvlJc w:val="left"/>
      <w:pPr>
        <w:tabs>
          <w:tab w:val="num" w:pos="5760"/>
        </w:tabs>
        <w:ind w:left="5760" w:hanging="360"/>
      </w:pPr>
      <w:rPr>
        <w:rFonts w:ascii="Courier New" w:hAnsi="Courier New" w:cs="Courier New" w:hint="default"/>
      </w:rPr>
    </w:lvl>
    <w:lvl w:ilvl="8" w:tplc="7E0E4F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0" w15:restartNumberingAfterBreak="0">
    <w:nsid w:val="38130038"/>
    <w:multiLevelType w:val="hybridMultilevel"/>
    <w:tmpl w:val="FF8A0FAE"/>
    <w:lvl w:ilvl="0" w:tplc="4E5EDFC0">
      <w:start w:val="1"/>
      <w:numFmt w:val="bullet"/>
      <w:pStyle w:val="ClauseBullet2"/>
      <w:lvlText w:val=""/>
      <w:lvlJc w:val="left"/>
      <w:pPr>
        <w:ind w:left="1440" w:hanging="360"/>
      </w:pPr>
      <w:rPr>
        <w:rFonts w:ascii="Symbol" w:hAnsi="Symbol" w:hint="default"/>
        <w:color w:val="000000"/>
      </w:rPr>
    </w:lvl>
    <w:lvl w:ilvl="1" w:tplc="5EC07BA2" w:tentative="1">
      <w:start w:val="1"/>
      <w:numFmt w:val="bullet"/>
      <w:lvlText w:val="o"/>
      <w:lvlJc w:val="left"/>
      <w:pPr>
        <w:ind w:left="2160" w:hanging="360"/>
      </w:pPr>
      <w:rPr>
        <w:rFonts w:ascii="Courier New" w:hAnsi="Courier New" w:cs="Courier New" w:hint="default"/>
      </w:rPr>
    </w:lvl>
    <w:lvl w:ilvl="2" w:tplc="957C1A3A" w:tentative="1">
      <w:start w:val="1"/>
      <w:numFmt w:val="bullet"/>
      <w:lvlText w:val=""/>
      <w:lvlJc w:val="left"/>
      <w:pPr>
        <w:ind w:left="2880" w:hanging="360"/>
      </w:pPr>
      <w:rPr>
        <w:rFonts w:ascii="Wingdings" w:hAnsi="Wingdings" w:hint="default"/>
      </w:rPr>
    </w:lvl>
    <w:lvl w:ilvl="3" w:tplc="A28C6E10" w:tentative="1">
      <w:start w:val="1"/>
      <w:numFmt w:val="bullet"/>
      <w:lvlText w:val=""/>
      <w:lvlJc w:val="left"/>
      <w:pPr>
        <w:ind w:left="3600" w:hanging="360"/>
      </w:pPr>
      <w:rPr>
        <w:rFonts w:ascii="Symbol" w:hAnsi="Symbol" w:hint="default"/>
      </w:rPr>
    </w:lvl>
    <w:lvl w:ilvl="4" w:tplc="C86A17C6" w:tentative="1">
      <w:start w:val="1"/>
      <w:numFmt w:val="bullet"/>
      <w:lvlText w:val="o"/>
      <w:lvlJc w:val="left"/>
      <w:pPr>
        <w:ind w:left="4320" w:hanging="360"/>
      </w:pPr>
      <w:rPr>
        <w:rFonts w:ascii="Courier New" w:hAnsi="Courier New" w:cs="Courier New" w:hint="default"/>
      </w:rPr>
    </w:lvl>
    <w:lvl w:ilvl="5" w:tplc="75500DB0" w:tentative="1">
      <w:start w:val="1"/>
      <w:numFmt w:val="bullet"/>
      <w:lvlText w:val=""/>
      <w:lvlJc w:val="left"/>
      <w:pPr>
        <w:ind w:left="5040" w:hanging="360"/>
      </w:pPr>
      <w:rPr>
        <w:rFonts w:ascii="Wingdings" w:hAnsi="Wingdings" w:hint="default"/>
      </w:rPr>
    </w:lvl>
    <w:lvl w:ilvl="6" w:tplc="945C2CDC" w:tentative="1">
      <w:start w:val="1"/>
      <w:numFmt w:val="bullet"/>
      <w:lvlText w:val=""/>
      <w:lvlJc w:val="left"/>
      <w:pPr>
        <w:ind w:left="5760" w:hanging="360"/>
      </w:pPr>
      <w:rPr>
        <w:rFonts w:ascii="Symbol" w:hAnsi="Symbol" w:hint="default"/>
      </w:rPr>
    </w:lvl>
    <w:lvl w:ilvl="7" w:tplc="58F41BBE" w:tentative="1">
      <w:start w:val="1"/>
      <w:numFmt w:val="bullet"/>
      <w:lvlText w:val="o"/>
      <w:lvlJc w:val="left"/>
      <w:pPr>
        <w:ind w:left="6480" w:hanging="360"/>
      </w:pPr>
      <w:rPr>
        <w:rFonts w:ascii="Courier New" w:hAnsi="Courier New" w:cs="Courier New" w:hint="default"/>
      </w:rPr>
    </w:lvl>
    <w:lvl w:ilvl="8" w:tplc="985A2638" w:tentative="1">
      <w:start w:val="1"/>
      <w:numFmt w:val="bullet"/>
      <w:lvlText w:val=""/>
      <w:lvlJc w:val="left"/>
      <w:pPr>
        <w:ind w:left="7200" w:hanging="360"/>
      </w:pPr>
      <w:rPr>
        <w:rFonts w:ascii="Wingdings" w:hAnsi="Wingdings" w:hint="default"/>
      </w:rPr>
    </w:lvl>
  </w:abstractNum>
  <w:abstractNum w:abstractNumId="11" w15:restartNumberingAfterBreak="0">
    <w:nsid w:val="44D67987"/>
    <w:multiLevelType w:val="hybridMultilevel"/>
    <w:tmpl w:val="EBD6FB80"/>
    <w:lvl w:ilvl="0" w:tplc="1D00DBBA">
      <w:start w:val="1"/>
      <w:numFmt w:val="bullet"/>
      <w:pStyle w:val="subclause1Bullet2"/>
      <w:lvlText w:val=""/>
      <w:lvlJc w:val="left"/>
      <w:pPr>
        <w:ind w:left="1440" w:hanging="360"/>
      </w:pPr>
      <w:rPr>
        <w:rFonts w:ascii="Symbol" w:hAnsi="Symbol" w:hint="default"/>
        <w:color w:val="000000"/>
      </w:rPr>
    </w:lvl>
    <w:lvl w:ilvl="1" w:tplc="E9AC028A" w:tentative="1">
      <w:start w:val="1"/>
      <w:numFmt w:val="bullet"/>
      <w:lvlText w:val="o"/>
      <w:lvlJc w:val="left"/>
      <w:pPr>
        <w:ind w:left="2160" w:hanging="360"/>
      </w:pPr>
      <w:rPr>
        <w:rFonts w:ascii="Courier New" w:hAnsi="Courier New" w:cs="Courier New" w:hint="default"/>
      </w:rPr>
    </w:lvl>
    <w:lvl w:ilvl="2" w:tplc="B67C5996" w:tentative="1">
      <w:start w:val="1"/>
      <w:numFmt w:val="bullet"/>
      <w:lvlText w:val=""/>
      <w:lvlJc w:val="left"/>
      <w:pPr>
        <w:ind w:left="2880" w:hanging="360"/>
      </w:pPr>
      <w:rPr>
        <w:rFonts w:ascii="Wingdings" w:hAnsi="Wingdings" w:hint="default"/>
      </w:rPr>
    </w:lvl>
    <w:lvl w:ilvl="3" w:tplc="5986BC28" w:tentative="1">
      <w:start w:val="1"/>
      <w:numFmt w:val="bullet"/>
      <w:lvlText w:val=""/>
      <w:lvlJc w:val="left"/>
      <w:pPr>
        <w:ind w:left="3600" w:hanging="360"/>
      </w:pPr>
      <w:rPr>
        <w:rFonts w:ascii="Symbol" w:hAnsi="Symbol" w:hint="default"/>
      </w:rPr>
    </w:lvl>
    <w:lvl w:ilvl="4" w:tplc="057EED68" w:tentative="1">
      <w:start w:val="1"/>
      <w:numFmt w:val="bullet"/>
      <w:lvlText w:val="o"/>
      <w:lvlJc w:val="left"/>
      <w:pPr>
        <w:ind w:left="4320" w:hanging="360"/>
      </w:pPr>
      <w:rPr>
        <w:rFonts w:ascii="Courier New" w:hAnsi="Courier New" w:cs="Courier New" w:hint="default"/>
      </w:rPr>
    </w:lvl>
    <w:lvl w:ilvl="5" w:tplc="3A0077BA" w:tentative="1">
      <w:start w:val="1"/>
      <w:numFmt w:val="bullet"/>
      <w:lvlText w:val=""/>
      <w:lvlJc w:val="left"/>
      <w:pPr>
        <w:ind w:left="5040" w:hanging="360"/>
      </w:pPr>
      <w:rPr>
        <w:rFonts w:ascii="Wingdings" w:hAnsi="Wingdings" w:hint="default"/>
      </w:rPr>
    </w:lvl>
    <w:lvl w:ilvl="6" w:tplc="79E0E440" w:tentative="1">
      <w:start w:val="1"/>
      <w:numFmt w:val="bullet"/>
      <w:lvlText w:val=""/>
      <w:lvlJc w:val="left"/>
      <w:pPr>
        <w:ind w:left="5760" w:hanging="360"/>
      </w:pPr>
      <w:rPr>
        <w:rFonts w:ascii="Symbol" w:hAnsi="Symbol" w:hint="default"/>
      </w:rPr>
    </w:lvl>
    <w:lvl w:ilvl="7" w:tplc="E9C0FC4A" w:tentative="1">
      <w:start w:val="1"/>
      <w:numFmt w:val="bullet"/>
      <w:lvlText w:val="o"/>
      <w:lvlJc w:val="left"/>
      <w:pPr>
        <w:ind w:left="6480" w:hanging="360"/>
      </w:pPr>
      <w:rPr>
        <w:rFonts w:ascii="Courier New" w:hAnsi="Courier New" w:cs="Courier New" w:hint="default"/>
      </w:rPr>
    </w:lvl>
    <w:lvl w:ilvl="8" w:tplc="5634784E" w:tentative="1">
      <w:start w:val="1"/>
      <w:numFmt w:val="bullet"/>
      <w:lvlText w:val=""/>
      <w:lvlJc w:val="left"/>
      <w:pPr>
        <w:ind w:left="7200" w:hanging="360"/>
      </w:pPr>
      <w:rPr>
        <w:rFonts w:ascii="Wingdings" w:hAnsi="Wingdings" w:hint="default"/>
      </w:rPr>
    </w:lvl>
  </w:abstractNum>
  <w:abstractNum w:abstractNumId="12" w15:restartNumberingAfterBreak="0">
    <w:nsid w:val="44E96665"/>
    <w:multiLevelType w:val="hybridMultilevel"/>
    <w:tmpl w:val="EF1E142A"/>
    <w:lvl w:ilvl="0" w:tplc="5A8E6152">
      <w:start w:val="1"/>
      <w:numFmt w:val="bullet"/>
      <w:pStyle w:val="subclause3Bullet1"/>
      <w:lvlText w:val=""/>
      <w:lvlJc w:val="left"/>
      <w:pPr>
        <w:ind w:left="2988" w:hanging="360"/>
      </w:pPr>
      <w:rPr>
        <w:rFonts w:ascii="Symbol" w:hAnsi="Symbol" w:hint="default"/>
        <w:color w:val="000000"/>
      </w:rPr>
    </w:lvl>
    <w:lvl w:ilvl="1" w:tplc="DA2EA94E" w:tentative="1">
      <w:start w:val="1"/>
      <w:numFmt w:val="bullet"/>
      <w:lvlText w:val="o"/>
      <w:lvlJc w:val="left"/>
      <w:pPr>
        <w:ind w:left="3708" w:hanging="360"/>
      </w:pPr>
      <w:rPr>
        <w:rFonts w:ascii="Courier New" w:hAnsi="Courier New" w:cs="Courier New" w:hint="default"/>
      </w:rPr>
    </w:lvl>
    <w:lvl w:ilvl="2" w:tplc="9088476C" w:tentative="1">
      <w:start w:val="1"/>
      <w:numFmt w:val="bullet"/>
      <w:lvlText w:val=""/>
      <w:lvlJc w:val="left"/>
      <w:pPr>
        <w:ind w:left="4428" w:hanging="360"/>
      </w:pPr>
      <w:rPr>
        <w:rFonts w:ascii="Wingdings" w:hAnsi="Wingdings" w:hint="default"/>
      </w:rPr>
    </w:lvl>
    <w:lvl w:ilvl="3" w:tplc="56E4F178" w:tentative="1">
      <w:start w:val="1"/>
      <w:numFmt w:val="bullet"/>
      <w:lvlText w:val=""/>
      <w:lvlJc w:val="left"/>
      <w:pPr>
        <w:ind w:left="5148" w:hanging="360"/>
      </w:pPr>
      <w:rPr>
        <w:rFonts w:ascii="Symbol" w:hAnsi="Symbol" w:hint="default"/>
      </w:rPr>
    </w:lvl>
    <w:lvl w:ilvl="4" w:tplc="2F66E39E" w:tentative="1">
      <w:start w:val="1"/>
      <w:numFmt w:val="bullet"/>
      <w:lvlText w:val="o"/>
      <w:lvlJc w:val="left"/>
      <w:pPr>
        <w:ind w:left="5868" w:hanging="360"/>
      </w:pPr>
      <w:rPr>
        <w:rFonts w:ascii="Courier New" w:hAnsi="Courier New" w:cs="Courier New" w:hint="default"/>
      </w:rPr>
    </w:lvl>
    <w:lvl w:ilvl="5" w:tplc="E648EF50" w:tentative="1">
      <w:start w:val="1"/>
      <w:numFmt w:val="bullet"/>
      <w:lvlText w:val=""/>
      <w:lvlJc w:val="left"/>
      <w:pPr>
        <w:ind w:left="6588" w:hanging="360"/>
      </w:pPr>
      <w:rPr>
        <w:rFonts w:ascii="Wingdings" w:hAnsi="Wingdings" w:hint="default"/>
      </w:rPr>
    </w:lvl>
    <w:lvl w:ilvl="6" w:tplc="699CFBEA" w:tentative="1">
      <w:start w:val="1"/>
      <w:numFmt w:val="bullet"/>
      <w:lvlText w:val=""/>
      <w:lvlJc w:val="left"/>
      <w:pPr>
        <w:ind w:left="7308" w:hanging="360"/>
      </w:pPr>
      <w:rPr>
        <w:rFonts w:ascii="Symbol" w:hAnsi="Symbol" w:hint="default"/>
      </w:rPr>
    </w:lvl>
    <w:lvl w:ilvl="7" w:tplc="0DB064A2" w:tentative="1">
      <w:start w:val="1"/>
      <w:numFmt w:val="bullet"/>
      <w:lvlText w:val="o"/>
      <w:lvlJc w:val="left"/>
      <w:pPr>
        <w:ind w:left="8028" w:hanging="360"/>
      </w:pPr>
      <w:rPr>
        <w:rFonts w:ascii="Courier New" w:hAnsi="Courier New" w:cs="Courier New" w:hint="default"/>
      </w:rPr>
    </w:lvl>
    <w:lvl w:ilvl="8" w:tplc="F69C5D76" w:tentative="1">
      <w:start w:val="1"/>
      <w:numFmt w:val="bullet"/>
      <w:lvlText w:val=""/>
      <w:lvlJc w:val="left"/>
      <w:pPr>
        <w:ind w:left="8748" w:hanging="360"/>
      </w:pPr>
      <w:rPr>
        <w:rFonts w:ascii="Wingdings" w:hAnsi="Wingdings" w:hint="default"/>
      </w:rPr>
    </w:lvl>
  </w:abstractNum>
  <w:abstractNum w:abstractNumId="13" w15:restartNumberingAfterBreak="0">
    <w:nsid w:val="46AC04C6"/>
    <w:multiLevelType w:val="hybridMultilevel"/>
    <w:tmpl w:val="E6C47700"/>
    <w:lvl w:ilvl="0" w:tplc="522009C2">
      <w:start w:val="1"/>
      <w:numFmt w:val="bullet"/>
      <w:pStyle w:val="subclause2Bullet1"/>
      <w:lvlText w:val=""/>
      <w:lvlJc w:val="left"/>
      <w:pPr>
        <w:ind w:left="2279" w:hanging="360"/>
      </w:pPr>
      <w:rPr>
        <w:rFonts w:ascii="Symbol" w:hAnsi="Symbol" w:hint="default"/>
        <w:color w:val="000000"/>
      </w:rPr>
    </w:lvl>
    <w:lvl w:ilvl="1" w:tplc="CD749690" w:tentative="1">
      <w:start w:val="1"/>
      <w:numFmt w:val="bullet"/>
      <w:lvlText w:val="o"/>
      <w:lvlJc w:val="left"/>
      <w:pPr>
        <w:ind w:left="2999" w:hanging="360"/>
      </w:pPr>
      <w:rPr>
        <w:rFonts w:ascii="Courier New" w:hAnsi="Courier New" w:cs="Courier New" w:hint="default"/>
      </w:rPr>
    </w:lvl>
    <w:lvl w:ilvl="2" w:tplc="BB8EEC3A" w:tentative="1">
      <w:start w:val="1"/>
      <w:numFmt w:val="bullet"/>
      <w:lvlText w:val=""/>
      <w:lvlJc w:val="left"/>
      <w:pPr>
        <w:ind w:left="3719" w:hanging="360"/>
      </w:pPr>
      <w:rPr>
        <w:rFonts w:ascii="Wingdings" w:hAnsi="Wingdings" w:hint="default"/>
      </w:rPr>
    </w:lvl>
    <w:lvl w:ilvl="3" w:tplc="0E8ED2DE" w:tentative="1">
      <w:start w:val="1"/>
      <w:numFmt w:val="bullet"/>
      <w:lvlText w:val=""/>
      <w:lvlJc w:val="left"/>
      <w:pPr>
        <w:ind w:left="4439" w:hanging="360"/>
      </w:pPr>
      <w:rPr>
        <w:rFonts w:ascii="Symbol" w:hAnsi="Symbol" w:hint="default"/>
      </w:rPr>
    </w:lvl>
    <w:lvl w:ilvl="4" w:tplc="38A811EC" w:tentative="1">
      <w:start w:val="1"/>
      <w:numFmt w:val="bullet"/>
      <w:lvlText w:val="o"/>
      <w:lvlJc w:val="left"/>
      <w:pPr>
        <w:ind w:left="5159" w:hanging="360"/>
      </w:pPr>
      <w:rPr>
        <w:rFonts w:ascii="Courier New" w:hAnsi="Courier New" w:cs="Courier New" w:hint="default"/>
      </w:rPr>
    </w:lvl>
    <w:lvl w:ilvl="5" w:tplc="F426F580" w:tentative="1">
      <w:start w:val="1"/>
      <w:numFmt w:val="bullet"/>
      <w:lvlText w:val=""/>
      <w:lvlJc w:val="left"/>
      <w:pPr>
        <w:ind w:left="5879" w:hanging="360"/>
      </w:pPr>
      <w:rPr>
        <w:rFonts w:ascii="Wingdings" w:hAnsi="Wingdings" w:hint="default"/>
      </w:rPr>
    </w:lvl>
    <w:lvl w:ilvl="6" w:tplc="DA9AD672" w:tentative="1">
      <w:start w:val="1"/>
      <w:numFmt w:val="bullet"/>
      <w:lvlText w:val=""/>
      <w:lvlJc w:val="left"/>
      <w:pPr>
        <w:ind w:left="6599" w:hanging="360"/>
      </w:pPr>
      <w:rPr>
        <w:rFonts w:ascii="Symbol" w:hAnsi="Symbol" w:hint="default"/>
      </w:rPr>
    </w:lvl>
    <w:lvl w:ilvl="7" w:tplc="6F101BF2" w:tentative="1">
      <w:start w:val="1"/>
      <w:numFmt w:val="bullet"/>
      <w:lvlText w:val="o"/>
      <w:lvlJc w:val="left"/>
      <w:pPr>
        <w:ind w:left="7319" w:hanging="360"/>
      </w:pPr>
      <w:rPr>
        <w:rFonts w:ascii="Courier New" w:hAnsi="Courier New" w:cs="Courier New" w:hint="default"/>
      </w:rPr>
    </w:lvl>
    <w:lvl w:ilvl="8" w:tplc="64DCD65C" w:tentative="1">
      <w:start w:val="1"/>
      <w:numFmt w:val="bullet"/>
      <w:lvlText w:val=""/>
      <w:lvlJc w:val="left"/>
      <w:pPr>
        <w:ind w:left="8039" w:hanging="360"/>
      </w:pPr>
      <w:rPr>
        <w:rFonts w:ascii="Wingdings" w:hAnsi="Wingdings" w:hint="default"/>
      </w:rPr>
    </w:lvl>
  </w:abstractNum>
  <w:abstractNum w:abstractNumId="14" w15:restartNumberingAfterBreak="0">
    <w:nsid w:val="47F42723"/>
    <w:multiLevelType w:val="hybridMultilevel"/>
    <w:tmpl w:val="C5A02EE6"/>
    <w:lvl w:ilvl="0" w:tplc="1D465658">
      <w:start w:val="1"/>
      <w:numFmt w:val="bullet"/>
      <w:pStyle w:val="subclause1Bullet1"/>
      <w:lvlText w:val=""/>
      <w:lvlJc w:val="left"/>
      <w:pPr>
        <w:ind w:left="1440" w:hanging="360"/>
      </w:pPr>
      <w:rPr>
        <w:rFonts w:ascii="Symbol" w:hAnsi="Symbol" w:hint="default"/>
        <w:color w:val="000000"/>
      </w:rPr>
    </w:lvl>
    <w:lvl w:ilvl="1" w:tplc="C6CE5A9E" w:tentative="1">
      <w:start w:val="1"/>
      <w:numFmt w:val="bullet"/>
      <w:lvlText w:val="o"/>
      <w:lvlJc w:val="left"/>
      <w:pPr>
        <w:ind w:left="2160" w:hanging="360"/>
      </w:pPr>
      <w:rPr>
        <w:rFonts w:ascii="Courier New" w:hAnsi="Courier New" w:cs="Courier New" w:hint="default"/>
      </w:rPr>
    </w:lvl>
    <w:lvl w:ilvl="2" w:tplc="BB1A8AC6" w:tentative="1">
      <w:start w:val="1"/>
      <w:numFmt w:val="bullet"/>
      <w:lvlText w:val=""/>
      <w:lvlJc w:val="left"/>
      <w:pPr>
        <w:ind w:left="2880" w:hanging="360"/>
      </w:pPr>
      <w:rPr>
        <w:rFonts w:ascii="Wingdings" w:hAnsi="Wingdings" w:hint="default"/>
      </w:rPr>
    </w:lvl>
    <w:lvl w:ilvl="3" w:tplc="4824020E" w:tentative="1">
      <w:start w:val="1"/>
      <w:numFmt w:val="bullet"/>
      <w:lvlText w:val=""/>
      <w:lvlJc w:val="left"/>
      <w:pPr>
        <w:ind w:left="3600" w:hanging="360"/>
      </w:pPr>
      <w:rPr>
        <w:rFonts w:ascii="Symbol" w:hAnsi="Symbol" w:hint="default"/>
      </w:rPr>
    </w:lvl>
    <w:lvl w:ilvl="4" w:tplc="10922B24" w:tentative="1">
      <w:start w:val="1"/>
      <w:numFmt w:val="bullet"/>
      <w:lvlText w:val="o"/>
      <w:lvlJc w:val="left"/>
      <w:pPr>
        <w:ind w:left="4320" w:hanging="360"/>
      </w:pPr>
      <w:rPr>
        <w:rFonts w:ascii="Courier New" w:hAnsi="Courier New" w:cs="Courier New" w:hint="default"/>
      </w:rPr>
    </w:lvl>
    <w:lvl w:ilvl="5" w:tplc="7EA62D48" w:tentative="1">
      <w:start w:val="1"/>
      <w:numFmt w:val="bullet"/>
      <w:lvlText w:val=""/>
      <w:lvlJc w:val="left"/>
      <w:pPr>
        <w:ind w:left="5040" w:hanging="360"/>
      </w:pPr>
      <w:rPr>
        <w:rFonts w:ascii="Wingdings" w:hAnsi="Wingdings" w:hint="default"/>
      </w:rPr>
    </w:lvl>
    <w:lvl w:ilvl="6" w:tplc="AE429D8C" w:tentative="1">
      <w:start w:val="1"/>
      <w:numFmt w:val="bullet"/>
      <w:lvlText w:val=""/>
      <w:lvlJc w:val="left"/>
      <w:pPr>
        <w:ind w:left="5760" w:hanging="360"/>
      </w:pPr>
      <w:rPr>
        <w:rFonts w:ascii="Symbol" w:hAnsi="Symbol" w:hint="default"/>
      </w:rPr>
    </w:lvl>
    <w:lvl w:ilvl="7" w:tplc="6D0E479C" w:tentative="1">
      <w:start w:val="1"/>
      <w:numFmt w:val="bullet"/>
      <w:lvlText w:val="o"/>
      <w:lvlJc w:val="left"/>
      <w:pPr>
        <w:ind w:left="6480" w:hanging="360"/>
      </w:pPr>
      <w:rPr>
        <w:rFonts w:ascii="Courier New" w:hAnsi="Courier New" w:cs="Courier New" w:hint="default"/>
      </w:rPr>
    </w:lvl>
    <w:lvl w:ilvl="8" w:tplc="A19696BA" w:tentative="1">
      <w:start w:val="1"/>
      <w:numFmt w:val="bullet"/>
      <w:lvlText w:val=""/>
      <w:lvlJc w:val="left"/>
      <w:pPr>
        <w:ind w:left="7200" w:hanging="360"/>
      </w:pPr>
      <w:rPr>
        <w:rFonts w:ascii="Wingdings" w:hAnsi="Wingdings" w:hint="default"/>
      </w:rPr>
    </w:lvl>
  </w:abstractNum>
  <w:abstractNum w:abstractNumId="15" w15:restartNumberingAfterBreak="0">
    <w:nsid w:val="55CB0AF0"/>
    <w:multiLevelType w:val="hybridMultilevel"/>
    <w:tmpl w:val="EB98B43A"/>
    <w:lvl w:ilvl="0" w:tplc="067C05BA">
      <w:start w:val="1"/>
      <w:numFmt w:val="decimal"/>
      <w:pStyle w:val="LongQuestionPara"/>
      <w:lvlText w:val="%1."/>
      <w:lvlJc w:val="left"/>
      <w:pPr>
        <w:ind w:left="360" w:hanging="360"/>
      </w:pPr>
      <w:rPr>
        <w:rFonts w:hint="default"/>
        <w:b/>
        <w:i w:val="0"/>
        <w:color w:val="000000"/>
        <w:sz w:val="24"/>
      </w:rPr>
    </w:lvl>
    <w:lvl w:ilvl="1" w:tplc="3276432C" w:tentative="1">
      <w:start w:val="1"/>
      <w:numFmt w:val="lowerLetter"/>
      <w:lvlText w:val="%2."/>
      <w:lvlJc w:val="left"/>
      <w:pPr>
        <w:ind w:left="1440" w:hanging="360"/>
      </w:pPr>
    </w:lvl>
    <w:lvl w:ilvl="2" w:tplc="439AD29A" w:tentative="1">
      <w:start w:val="1"/>
      <w:numFmt w:val="lowerRoman"/>
      <w:lvlText w:val="%3."/>
      <w:lvlJc w:val="right"/>
      <w:pPr>
        <w:ind w:left="2160" w:hanging="180"/>
      </w:pPr>
    </w:lvl>
    <w:lvl w:ilvl="3" w:tplc="D592D532" w:tentative="1">
      <w:start w:val="1"/>
      <w:numFmt w:val="decimal"/>
      <w:lvlText w:val="%4."/>
      <w:lvlJc w:val="left"/>
      <w:pPr>
        <w:ind w:left="2880" w:hanging="360"/>
      </w:pPr>
    </w:lvl>
    <w:lvl w:ilvl="4" w:tplc="649E973A" w:tentative="1">
      <w:start w:val="1"/>
      <w:numFmt w:val="lowerLetter"/>
      <w:lvlText w:val="%5."/>
      <w:lvlJc w:val="left"/>
      <w:pPr>
        <w:ind w:left="3600" w:hanging="360"/>
      </w:pPr>
    </w:lvl>
    <w:lvl w:ilvl="5" w:tplc="FD9E41DE" w:tentative="1">
      <w:start w:val="1"/>
      <w:numFmt w:val="lowerRoman"/>
      <w:lvlText w:val="%6."/>
      <w:lvlJc w:val="right"/>
      <w:pPr>
        <w:ind w:left="4320" w:hanging="180"/>
      </w:pPr>
    </w:lvl>
    <w:lvl w:ilvl="6" w:tplc="5AD0682C" w:tentative="1">
      <w:start w:val="1"/>
      <w:numFmt w:val="decimal"/>
      <w:lvlText w:val="%7."/>
      <w:lvlJc w:val="left"/>
      <w:pPr>
        <w:ind w:left="5040" w:hanging="360"/>
      </w:pPr>
    </w:lvl>
    <w:lvl w:ilvl="7" w:tplc="BDD2A44E" w:tentative="1">
      <w:start w:val="1"/>
      <w:numFmt w:val="lowerLetter"/>
      <w:lvlText w:val="%8."/>
      <w:lvlJc w:val="left"/>
      <w:pPr>
        <w:ind w:left="5760" w:hanging="360"/>
      </w:pPr>
    </w:lvl>
    <w:lvl w:ilvl="8" w:tplc="C4E0793E" w:tentative="1">
      <w:start w:val="1"/>
      <w:numFmt w:val="lowerRoman"/>
      <w:lvlText w:val="%9."/>
      <w:lvlJc w:val="right"/>
      <w:pPr>
        <w:ind w:left="6480" w:hanging="180"/>
      </w:pPr>
    </w:lvl>
  </w:abstractNum>
  <w:abstractNum w:abstractNumId="16"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61071422"/>
    <w:multiLevelType w:val="hybridMultilevel"/>
    <w:tmpl w:val="59B858D8"/>
    <w:lvl w:ilvl="0" w:tplc="020CD1E4">
      <w:start w:val="1"/>
      <w:numFmt w:val="bullet"/>
      <w:pStyle w:val="ClauseBullet1"/>
      <w:lvlText w:val=""/>
      <w:lvlJc w:val="left"/>
      <w:pPr>
        <w:ind w:left="1080" w:hanging="360"/>
      </w:pPr>
      <w:rPr>
        <w:rFonts w:ascii="Symbol" w:hAnsi="Symbol" w:hint="default"/>
        <w:color w:val="000000"/>
      </w:rPr>
    </w:lvl>
    <w:lvl w:ilvl="1" w:tplc="A30A5E50" w:tentative="1">
      <w:start w:val="1"/>
      <w:numFmt w:val="bullet"/>
      <w:lvlText w:val="o"/>
      <w:lvlJc w:val="left"/>
      <w:pPr>
        <w:ind w:left="1800" w:hanging="360"/>
      </w:pPr>
      <w:rPr>
        <w:rFonts w:ascii="Courier New" w:hAnsi="Courier New" w:cs="Courier New" w:hint="default"/>
      </w:rPr>
    </w:lvl>
    <w:lvl w:ilvl="2" w:tplc="B31814B8" w:tentative="1">
      <w:start w:val="1"/>
      <w:numFmt w:val="bullet"/>
      <w:lvlText w:val=""/>
      <w:lvlJc w:val="left"/>
      <w:pPr>
        <w:ind w:left="2520" w:hanging="360"/>
      </w:pPr>
      <w:rPr>
        <w:rFonts w:ascii="Wingdings" w:hAnsi="Wingdings" w:hint="default"/>
      </w:rPr>
    </w:lvl>
    <w:lvl w:ilvl="3" w:tplc="3E1AEFB2" w:tentative="1">
      <w:start w:val="1"/>
      <w:numFmt w:val="bullet"/>
      <w:lvlText w:val=""/>
      <w:lvlJc w:val="left"/>
      <w:pPr>
        <w:ind w:left="3240" w:hanging="360"/>
      </w:pPr>
      <w:rPr>
        <w:rFonts w:ascii="Symbol" w:hAnsi="Symbol" w:hint="default"/>
      </w:rPr>
    </w:lvl>
    <w:lvl w:ilvl="4" w:tplc="03CE76D2" w:tentative="1">
      <w:start w:val="1"/>
      <w:numFmt w:val="bullet"/>
      <w:lvlText w:val="o"/>
      <w:lvlJc w:val="left"/>
      <w:pPr>
        <w:ind w:left="3960" w:hanging="360"/>
      </w:pPr>
      <w:rPr>
        <w:rFonts w:ascii="Courier New" w:hAnsi="Courier New" w:cs="Courier New" w:hint="default"/>
      </w:rPr>
    </w:lvl>
    <w:lvl w:ilvl="5" w:tplc="CC86DA3C" w:tentative="1">
      <w:start w:val="1"/>
      <w:numFmt w:val="bullet"/>
      <w:lvlText w:val=""/>
      <w:lvlJc w:val="left"/>
      <w:pPr>
        <w:ind w:left="4680" w:hanging="360"/>
      </w:pPr>
      <w:rPr>
        <w:rFonts w:ascii="Wingdings" w:hAnsi="Wingdings" w:hint="default"/>
      </w:rPr>
    </w:lvl>
    <w:lvl w:ilvl="6" w:tplc="B54A7CB0" w:tentative="1">
      <w:start w:val="1"/>
      <w:numFmt w:val="bullet"/>
      <w:lvlText w:val=""/>
      <w:lvlJc w:val="left"/>
      <w:pPr>
        <w:ind w:left="5400" w:hanging="360"/>
      </w:pPr>
      <w:rPr>
        <w:rFonts w:ascii="Symbol" w:hAnsi="Symbol" w:hint="default"/>
      </w:rPr>
    </w:lvl>
    <w:lvl w:ilvl="7" w:tplc="F33A9C16" w:tentative="1">
      <w:start w:val="1"/>
      <w:numFmt w:val="bullet"/>
      <w:lvlText w:val="o"/>
      <w:lvlJc w:val="left"/>
      <w:pPr>
        <w:ind w:left="6120" w:hanging="360"/>
      </w:pPr>
      <w:rPr>
        <w:rFonts w:ascii="Courier New" w:hAnsi="Courier New" w:cs="Courier New" w:hint="default"/>
      </w:rPr>
    </w:lvl>
    <w:lvl w:ilvl="8" w:tplc="8BD4D832" w:tentative="1">
      <w:start w:val="1"/>
      <w:numFmt w:val="bullet"/>
      <w:lvlText w:val=""/>
      <w:lvlJc w:val="left"/>
      <w:pPr>
        <w:ind w:left="6840" w:hanging="360"/>
      </w:pPr>
      <w:rPr>
        <w:rFonts w:ascii="Wingdings" w:hAnsi="Wingdings" w:hint="default"/>
      </w:rPr>
    </w:lvl>
  </w:abstractNum>
  <w:abstractNum w:abstractNumId="18" w15:restartNumberingAfterBreak="0">
    <w:nsid w:val="642371CD"/>
    <w:multiLevelType w:val="hybridMultilevel"/>
    <w:tmpl w:val="3B76A654"/>
    <w:lvl w:ilvl="0" w:tplc="40763A52">
      <w:start w:val="1"/>
      <w:numFmt w:val="bullet"/>
      <w:pStyle w:val="subclause3Bullet2"/>
      <w:lvlText w:val=""/>
      <w:lvlJc w:val="left"/>
      <w:pPr>
        <w:ind w:left="3748" w:hanging="360"/>
      </w:pPr>
      <w:rPr>
        <w:rFonts w:ascii="Symbol" w:hAnsi="Symbol" w:hint="default"/>
        <w:color w:val="000000"/>
      </w:rPr>
    </w:lvl>
    <w:lvl w:ilvl="1" w:tplc="D094582A" w:tentative="1">
      <w:start w:val="1"/>
      <w:numFmt w:val="bullet"/>
      <w:lvlText w:val="o"/>
      <w:lvlJc w:val="left"/>
      <w:pPr>
        <w:ind w:left="4468" w:hanging="360"/>
      </w:pPr>
      <w:rPr>
        <w:rFonts w:ascii="Courier New" w:hAnsi="Courier New" w:cs="Courier New" w:hint="default"/>
      </w:rPr>
    </w:lvl>
    <w:lvl w:ilvl="2" w:tplc="BA3285AA" w:tentative="1">
      <w:start w:val="1"/>
      <w:numFmt w:val="bullet"/>
      <w:lvlText w:val=""/>
      <w:lvlJc w:val="left"/>
      <w:pPr>
        <w:ind w:left="5188" w:hanging="360"/>
      </w:pPr>
      <w:rPr>
        <w:rFonts w:ascii="Wingdings" w:hAnsi="Wingdings" w:hint="default"/>
      </w:rPr>
    </w:lvl>
    <w:lvl w:ilvl="3" w:tplc="3C6EA9D8" w:tentative="1">
      <w:start w:val="1"/>
      <w:numFmt w:val="bullet"/>
      <w:lvlText w:val=""/>
      <w:lvlJc w:val="left"/>
      <w:pPr>
        <w:ind w:left="5908" w:hanging="360"/>
      </w:pPr>
      <w:rPr>
        <w:rFonts w:ascii="Symbol" w:hAnsi="Symbol" w:hint="default"/>
      </w:rPr>
    </w:lvl>
    <w:lvl w:ilvl="4" w:tplc="5C6E3D9C" w:tentative="1">
      <w:start w:val="1"/>
      <w:numFmt w:val="bullet"/>
      <w:lvlText w:val="o"/>
      <w:lvlJc w:val="left"/>
      <w:pPr>
        <w:ind w:left="6628" w:hanging="360"/>
      </w:pPr>
      <w:rPr>
        <w:rFonts w:ascii="Courier New" w:hAnsi="Courier New" w:cs="Courier New" w:hint="default"/>
      </w:rPr>
    </w:lvl>
    <w:lvl w:ilvl="5" w:tplc="D5829CC8" w:tentative="1">
      <w:start w:val="1"/>
      <w:numFmt w:val="bullet"/>
      <w:lvlText w:val=""/>
      <w:lvlJc w:val="left"/>
      <w:pPr>
        <w:ind w:left="7348" w:hanging="360"/>
      </w:pPr>
      <w:rPr>
        <w:rFonts w:ascii="Wingdings" w:hAnsi="Wingdings" w:hint="default"/>
      </w:rPr>
    </w:lvl>
    <w:lvl w:ilvl="6" w:tplc="0CF44104" w:tentative="1">
      <w:start w:val="1"/>
      <w:numFmt w:val="bullet"/>
      <w:lvlText w:val=""/>
      <w:lvlJc w:val="left"/>
      <w:pPr>
        <w:ind w:left="8068" w:hanging="360"/>
      </w:pPr>
      <w:rPr>
        <w:rFonts w:ascii="Symbol" w:hAnsi="Symbol" w:hint="default"/>
      </w:rPr>
    </w:lvl>
    <w:lvl w:ilvl="7" w:tplc="BC1881BE" w:tentative="1">
      <w:start w:val="1"/>
      <w:numFmt w:val="bullet"/>
      <w:lvlText w:val="o"/>
      <w:lvlJc w:val="left"/>
      <w:pPr>
        <w:ind w:left="8788" w:hanging="360"/>
      </w:pPr>
      <w:rPr>
        <w:rFonts w:ascii="Courier New" w:hAnsi="Courier New" w:cs="Courier New" w:hint="default"/>
      </w:rPr>
    </w:lvl>
    <w:lvl w:ilvl="8" w:tplc="F0F0D6B2" w:tentative="1">
      <w:start w:val="1"/>
      <w:numFmt w:val="bullet"/>
      <w:lvlText w:val=""/>
      <w:lvlJc w:val="left"/>
      <w:pPr>
        <w:ind w:left="9508" w:hanging="360"/>
      </w:pPr>
      <w:rPr>
        <w:rFonts w:ascii="Wingdings" w:hAnsi="Wingdings" w:hint="default"/>
      </w:rPr>
    </w:lvl>
  </w:abstractNum>
  <w:abstractNum w:abstractNumId="19"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0" w15:restartNumberingAfterBreak="0">
    <w:nsid w:val="6A14466B"/>
    <w:multiLevelType w:val="hybridMultilevel"/>
    <w:tmpl w:val="2402A666"/>
    <w:lvl w:ilvl="0" w:tplc="5E58ECC4">
      <w:start w:val="1"/>
      <w:numFmt w:val="bullet"/>
      <w:pStyle w:val="BulletList1"/>
      <w:lvlText w:val="·"/>
      <w:lvlJc w:val="left"/>
      <w:pPr>
        <w:tabs>
          <w:tab w:val="num" w:pos="360"/>
        </w:tabs>
        <w:ind w:left="360" w:hanging="360"/>
      </w:pPr>
      <w:rPr>
        <w:rFonts w:ascii="Symbol" w:hAnsi="Symbol" w:hint="default"/>
        <w:color w:val="000000"/>
      </w:rPr>
    </w:lvl>
    <w:lvl w:ilvl="1" w:tplc="D21271B6" w:tentative="1">
      <w:start w:val="1"/>
      <w:numFmt w:val="bullet"/>
      <w:lvlText w:val="·"/>
      <w:lvlJc w:val="left"/>
      <w:pPr>
        <w:tabs>
          <w:tab w:val="num" w:pos="1440"/>
        </w:tabs>
        <w:ind w:left="1440" w:hanging="360"/>
      </w:pPr>
      <w:rPr>
        <w:rFonts w:ascii="Symbol" w:hAnsi="Symbol" w:hint="default"/>
      </w:rPr>
    </w:lvl>
    <w:lvl w:ilvl="2" w:tplc="C002896A" w:tentative="1">
      <w:start w:val="1"/>
      <w:numFmt w:val="bullet"/>
      <w:lvlText w:val="·"/>
      <w:lvlJc w:val="left"/>
      <w:pPr>
        <w:tabs>
          <w:tab w:val="num" w:pos="2160"/>
        </w:tabs>
        <w:ind w:left="2160" w:hanging="360"/>
      </w:pPr>
      <w:rPr>
        <w:rFonts w:ascii="Symbol" w:hAnsi="Symbol" w:hint="default"/>
      </w:rPr>
    </w:lvl>
    <w:lvl w:ilvl="3" w:tplc="16C009F2" w:tentative="1">
      <w:start w:val="1"/>
      <w:numFmt w:val="bullet"/>
      <w:lvlText w:val="·"/>
      <w:lvlJc w:val="left"/>
      <w:pPr>
        <w:tabs>
          <w:tab w:val="num" w:pos="2880"/>
        </w:tabs>
        <w:ind w:left="2880" w:hanging="360"/>
      </w:pPr>
      <w:rPr>
        <w:rFonts w:ascii="Symbol" w:hAnsi="Symbol" w:hint="default"/>
      </w:rPr>
    </w:lvl>
    <w:lvl w:ilvl="4" w:tplc="CE0C5CBE" w:tentative="1">
      <w:start w:val="1"/>
      <w:numFmt w:val="bullet"/>
      <w:lvlText w:val="o"/>
      <w:lvlJc w:val="left"/>
      <w:pPr>
        <w:tabs>
          <w:tab w:val="num" w:pos="3600"/>
        </w:tabs>
        <w:ind w:left="3600" w:hanging="360"/>
      </w:pPr>
      <w:rPr>
        <w:rFonts w:ascii="Courier New" w:hAnsi="Courier New" w:hint="default"/>
      </w:rPr>
    </w:lvl>
    <w:lvl w:ilvl="5" w:tplc="3D6CDE02" w:tentative="1">
      <w:start w:val="1"/>
      <w:numFmt w:val="bullet"/>
      <w:lvlText w:val="§"/>
      <w:lvlJc w:val="left"/>
      <w:pPr>
        <w:tabs>
          <w:tab w:val="num" w:pos="4320"/>
        </w:tabs>
        <w:ind w:left="4320" w:hanging="360"/>
      </w:pPr>
      <w:rPr>
        <w:rFonts w:ascii="Wingdings" w:hAnsi="Wingdings" w:hint="default"/>
      </w:rPr>
    </w:lvl>
    <w:lvl w:ilvl="6" w:tplc="7B62BF50" w:tentative="1">
      <w:start w:val="1"/>
      <w:numFmt w:val="bullet"/>
      <w:lvlText w:val="·"/>
      <w:lvlJc w:val="left"/>
      <w:pPr>
        <w:tabs>
          <w:tab w:val="num" w:pos="5040"/>
        </w:tabs>
        <w:ind w:left="5040" w:hanging="360"/>
      </w:pPr>
      <w:rPr>
        <w:rFonts w:ascii="Symbol" w:hAnsi="Symbol" w:hint="default"/>
      </w:rPr>
    </w:lvl>
    <w:lvl w:ilvl="7" w:tplc="F134ECD6" w:tentative="1">
      <w:start w:val="1"/>
      <w:numFmt w:val="bullet"/>
      <w:lvlText w:val="o"/>
      <w:lvlJc w:val="left"/>
      <w:pPr>
        <w:tabs>
          <w:tab w:val="num" w:pos="5760"/>
        </w:tabs>
        <w:ind w:left="5760" w:hanging="360"/>
      </w:pPr>
      <w:rPr>
        <w:rFonts w:ascii="Courier New" w:hAnsi="Courier New" w:hint="default"/>
      </w:rPr>
    </w:lvl>
    <w:lvl w:ilvl="8" w:tplc="69F08A8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91C7AE9"/>
    <w:multiLevelType w:val="hybridMultilevel"/>
    <w:tmpl w:val="1CBEE570"/>
    <w:styleLink w:val="ImportedStyle6"/>
    <w:lvl w:ilvl="0" w:tplc="03F8A67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220DBF8">
      <w:start w:val="1"/>
      <w:numFmt w:val="bullet"/>
      <w:lvlText w:val="o"/>
      <w:lvlJc w:val="left"/>
      <w:pPr>
        <w:ind w:left="139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400E4F8">
      <w:start w:val="1"/>
      <w:numFmt w:val="bullet"/>
      <w:lvlText w:val="▪"/>
      <w:lvlJc w:val="left"/>
      <w:pPr>
        <w:ind w:left="211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B8BEF4">
      <w:start w:val="1"/>
      <w:numFmt w:val="bullet"/>
      <w:lvlText w:val="•"/>
      <w:lvlJc w:val="left"/>
      <w:pPr>
        <w:ind w:left="2835" w:hanging="31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6E00A80">
      <w:start w:val="1"/>
      <w:numFmt w:val="bullet"/>
      <w:lvlText w:val="o"/>
      <w:lvlJc w:val="left"/>
      <w:pPr>
        <w:ind w:left="355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A668278">
      <w:start w:val="1"/>
      <w:numFmt w:val="bullet"/>
      <w:lvlText w:val="▪"/>
      <w:lvlJc w:val="left"/>
      <w:pPr>
        <w:ind w:left="427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F8008A6">
      <w:start w:val="1"/>
      <w:numFmt w:val="bullet"/>
      <w:lvlText w:val="•"/>
      <w:lvlJc w:val="left"/>
      <w:pPr>
        <w:ind w:left="4995" w:hanging="31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FF86874">
      <w:start w:val="1"/>
      <w:numFmt w:val="bullet"/>
      <w:lvlText w:val="o"/>
      <w:lvlJc w:val="left"/>
      <w:pPr>
        <w:ind w:left="571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792C350">
      <w:start w:val="1"/>
      <w:numFmt w:val="bullet"/>
      <w:lvlText w:val="▪"/>
      <w:lvlJc w:val="left"/>
      <w:pPr>
        <w:ind w:left="643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7DB5644F"/>
    <w:multiLevelType w:val="hybridMultilevel"/>
    <w:tmpl w:val="8BCC9C08"/>
    <w:lvl w:ilvl="0" w:tplc="A5C4C4A2">
      <w:start w:val="1"/>
      <w:numFmt w:val="bullet"/>
      <w:pStyle w:val="BulletList3"/>
      <w:lvlText w:val=""/>
      <w:lvlJc w:val="left"/>
      <w:pPr>
        <w:tabs>
          <w:tab w:val="num" w:pos="1945"/>
        </w:tabs>
        <w:ind w:left="1945" w:hanging="357"/>
      </w:pPr>
      <w:rPr>
        <w:rFonts w:ascii="Symbol" w:hAnsi="Symbol" w:hint="default"/>
        <w:color w:val="000000"/>
      </w:rPr>
    </w:lvl>
    <w:lvl w:ilvl="1" w:tplc="1B82B7F4" w:tentative="1">
      <w:start w:val="1"/>
      <w:numFmt w:val="bullet"/>
      <w:lvlText w:val="o"/>
      <w:lvlJc w:val="left"/>
      <w:pPr>
        <w:tabs>
          <w:tab w:val="num" w:pos="1440"/>
        </w:tabs>
        <w:ind w:left="1440" w:hanging="360"/>
      </w:pPr>
      <w:rPr>
        <w:rFonts w:ascii="Courier New" w:hAnsi="Courier New" w:cs="Courier New" w:hint="default"/>
      </w:rPr>
    </w:lvl>
    <w:lvl w:ilvl="2" w:tplc="BF465F96" w:tentative="1">
      <w:start w:val="1"/>
      <w:numFmt w:val="bullet"/>
      <w:lvlText w:val=""/>
      <w:lvlJc w:val="left"/>
      <w:pPr>
        <w:tabs>
          <w:tab w:val="num" w:pos="2160"/>
        </w:tabs>
        <w:ind w:left="2160" w:hanging="360"/>
      </w:pPr>
      <w:rPr>
        <w:rFonts w:ascii="Wingdings" w:hAnsi="Wingdings" w:hint="default"/>
      </w:rPr>
    </w:lvl>
    <w:lvl w:ilvl="3" w:tplc="5DEA5382" w:tentative="1">
      <w:start w:val="1"/>
      <w:numFmt w:val="bullet"/>
      <w:lvlText w:val=""/>
      <w:lvlJc w:val="left"/>
      <w:pPr>
        <w:tabs>
          <w:tab w:val="num" w:pos="2880"/>
        </w:tabs>
        <w:ind w:left="2880" w:hanging="360"/>
      </w:pPr>
      <w:rPr>
        <w:rFonts w:ascii="Symbol" w:hAnsi="Symbol" w:hint="default"/>
      </w:rPr>
    </w:lvl>
    <w:lvl w:ilvl="4" w:tplc="256E46E0" w:tentative="1">
      <w:start w:val="1"/>
      <w:numFmt w:val="bullet"/>
      <w:lvlText w:val="o"/>
      <w:lvlJc w:val="left"/>
      <w:pPr>
        <w:tabs>
          <w:tab w:val="num" w:pos="3600"/>
        </w:tabs>
        <w:ind w:left="3600" w:hanging="360"/>
      </w:pPr>
      <w:rPr>
        <w:rFonts w:ascii="Courier New" w:hAnsi="Courier New" w:cs="Courier New" w:hint="default"/>
      </w:rPr>
    </w:lvl>
    <w:lvl w:ilvl="5" w:tplc="4F222D6C" w:tentative="1">
      <w:start w:val="1"/>
      <w:numFmt w:val="bullet"/>
      <w:lvlText w:val=""/>
      <w:lvlJc w:val="left"/>
      <w:pPr>
        <w:tabs>
          <w:tab w:val="num" w:pos="4320"/>
        </w:tabs>
        <w:ind w:left="4320" w:hanging="360"/>
      </w:pPr>
      <w:rPr>
        <w:rFonts w:ascii="Wingdings" w:hAnsi="Wingdings" w:hint="default"/>
      </w:rPr>
    </w:lvl>
    <w:lvl w:ilvl="6" w:tplc="EAD6937E" w:tentative="1">
      <w:start w:val="1"/>
      <w:numFmt w:val="bullet"/>
      <w:lvlText w:val=""/>
      <w:lvlJc w:val="left"/>
      <w:pPr>
        <w:tabs>
          <w:tab w:val="num" w:pos="5040"/>
        </w:tabs>
        <w:ind w:left="5040" w:hanging="360"/>
      </w:pPr>
      <w:rPr>
        <w:rFonts w:ascii="Symbol" w:hAnsi="Symbol" w:hint="default"/>
      </w:rPr>
    </w:lvl>
    <w:lvl w:ilvl="7" w:tplc="F6ACF0F8" w:tentative="1">
      <w:start w:val="1"/>
      <w:numFmt w:val="bullet"/>
      <w:lvlText w:val="o"/>
      <w:lvlJc w:val="left"/>
      <w:pPr>
        <w:tabs>
          <w:tab w:val="num" w:pos="5760"/>
        </w:tabs>
        <w:ind w:left="5760" w:hanging="360"/>
      </w:pPr>
      <w:rPr>
        <w:rFonts w:ascii="Courier New" w:hAnsi="Courier New" w:cs="Courier New" w:hint="default"/>
      </w:rPr>
    </w:lvl>
    <w:lvl w:ilvl="8" w:tplc="F5463D18"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7"/>
  </w:num>
  <w:num w:numId="4">
    <w:abstractNumId w:val="24"/>
  </w:num>
  <w:num w:numId="5">
    <w:abstractNumId w:val="22"/>
  </w:num>
  <w:num w:numId="6">
    <w:abstractNumId w:val="3"/>
  </w:num>
  <w:num w:numId="7">
    <w:abstractNumId w:val="9"/>
  </w:num>
  <w:num w:numId="8">
    <w:abstractNumId w:val="8"/>
  </w:num>
  <w:num w:numId="9">
    <w:abstractNumId w:val="5"/>
  </w:num>
  <w:num w:numId="10">
    <w:abstractNumId w:val="16"/>
  </w:num>
  <w:num w:numId="11">
    <w:abstractNumId w:val="4"/>
  </w:num>
  <w:num w:numId="12">
    <w:abstractNumId w:val="15"/>
  </w:num>
  <w:num w:numId="13">
    <w:abstractNumId w:val="17"/>
  </w:num>
  <w:num w:numId="14">
    <w:abstractNumId w:val="10"/>
  </w:num>
  <w:num w:numId="15">
    <w:abstractNumId w:val="14"/>
  </w:num>
  <w:num w:numId="16">
    <w:abstractNumId w:val="12"/>
  </w:num>
  <w:num w:numId="17">
    <w:abstractNumId w:val="13"/>
  </w:num>
  <w:num w:numId="18">
    <w:abstractNumId w:val="11"/>
  </w:num>
  <w:num w:numId="19">
    <w:abstractNumId w:val="6"/>
  </w:num>
  <w:num w:numId="20">
    <w:abstractNumId w:val="18"/>
  </w:num>
  <w:num w:numId="21">
    <w:abstractNumId w:val="1"/>
  </w:num>
  <w:num w:numId="22">
    <w:abstractNumId w:val="2"/>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5f_x000d__x005f_x000a_  &lt;Precedent&gt;agreement&lt;/Precedent&gt;_x005f_x000d__x005f_x000a_  &lt;Operative&gt;Clause&lt;/Operative&gt;_x005f_x000d__x005f_x000a_  &lt;TemplateType&gt;null&lt;/TemplateType&gt;_x005f_x000d__x005f_x000a_  &lt;SignaturePageBreakType&gt;Yes without message&lt;/SignaturePageBreakType&gt;_x005f_x000d__x005f_x000a_&lt;/docParts&gt;"/>
    <w:docVar w:name="gentXMLPartID" w:val="{DF7C6334-EB60-4759-8C62-E2EAF2BA4260}"/>
    <w:docVar w:name="PilgDocRef" w:val="20279879"/>
    <w:docVar w:name="PilgDocVersion" w:val="1"/>
    <w:docVar w:name="PilgOrigDocID" w:val="20279879"/>
  </w:docVars>
  <w:rsids>
    <w:rsidRoot w:val="00D5174B"/>
    <w:rsid w:val="00023A1C"/>
    <w:rsid w:val="000727E8"/>
    <w:rsid w:val="000C4166"/>
    <w:rsid w:val="000D6581"/>
    <w:rsid w:val="000F604C"/>
    <w:rsid w:val="00110DD5"/>
    <w:rsid w:val="001244F1"/>
    <w:rsid w:val="00170081"/>
    <w:rsid w:val="00183CDF"/>
    <w:rsid w:val="001A2FDB"/>
    <w:rsid w:val="001D03E8"/>
    <w:rsid w:val="001E1D84"/>
    <w:rsid w:val="001E2591"/>
    <w:rsid w:val="0020098C"/>
    <w:rsid w:val="00211671"/>
    <w:rsid w:val="002446D3"/>
    <w:rsid w:val="002A2164"/>
    <w:rsid w:val="002B65AC"/>
    <w:rsid w:val="0030286C"/>
    <w:rsid w:val="0030701F"/>
    <w:rsid w:val="00323B93"/>
    <w:rsid w:val="00366758"/>
    <w:rsid w:val="00370FFC"/>
    <w:rsid w:val="00386240"/>
    <w:rsid w:val="00392717"/>
    <w:rsid w:val="00397ECE"/>
    <w:rsid w:val="003A2938"/>
    <w:rsid w:val="003A6D7C"/>
    <w:rsid w:val="003C3173"/>
    <w:rsid w:val="003D00D4"/>
    <w:rsid w:val="00433DD0"/>
    <w:rsid w:val="004521CF"/>
    <w:rsid w:val="004539EC"/>
    <w:rsid w:val="004612EE"/>
    <w:rsid w:val="00484EAB"/>
    <w:rsid w:val="004A2616"/>
    <w:rsid w:val="004C5046"/>
    <w:rsid w:val="004F44C7"/>
    <w:rsid w:val="00517195"/>
    <w:rsid w:val="00530D38"/>
    <w:rsid w:val="00543848"/>
    <w:rsid w:val="00572DB4"/>
    <w:rsid w:val="00594DCB"/>
    <w:rsid w:val="00595B88"/>
    <w:rsid w:val="005B08E6"/>
    <w:rsid w:val="005C16B4"/>
    <w:rsid w:val="005C7D62"/>
    <w:rsid w:val="005D4A34"/>
    <w:rsid w:val="005F62FC"/>
    <w:rsid w:val="00604E3A"/>
    <w:rsid w:val="00605C94"/>
    <w:rsid w:val="00610C1A"/>
    <w:rsid w:val="00620813"/>
    <w:rsid w:val="00622CCA"/>
    <w:rsid w:val="00630B78"/>
    <w:rsid w:val="00634516"/>
    <w:rsid w:val="00687418"/>
    <w:rsid w:val="006934BA"/>
    <w:rsid w:val="00695D2C"/>
    <w:rsid w:val="00695D8E"/>
    <w:rsid w:val="006A301D"/>
    <w:rsid w:val="006B654A"/>
    <w:rsid w:val="006D0106"/>
    <w:rsid w:val="006E2F47"/>
    <w:rsid w:val="006E3B74"/>
    <w:rsid w:val="006E6BE8"/>
    <w:rsid w:val="00734E04"/>
    <w:rsid w:val="0074561A"/>
    <w:rsid w:val="0076114B"/>
    <w:rsid w:val="007667EE"/>
    <w:rsid w:val="00771277"/>
    <w:rsid w:val="00780112"/>
    <w:rsid w:val="00781B71"/>
    <w:rsid w:val="007A747A"/>
    <w:rsid w:val="007D20B8"/>
    <w:rsid w:val="008152CA"/>
    <w:rsid w:val="00825DEC"/>
    <w:rsid w:val="00864114"/>
    <w:rsid w:val="008652C6"/>
    <w:rsid w:val="008843BF"/>
    <w:rsid w:val="008C4C53"/>
    <w:rsid w:val="008D05B4"/>
    <w:rsid w:val="00905A18"/>
    <w:rsid w:val="009452E2"/>
    <w:rsid w:val="00960AE7"/>
    <w:rsid w:val="00967EF2"/>
    <w:rsid w:val="009A26B4"/>
    <w:rsid w:val="009B5C5D"/>
    <w:rsid w:val="009D0979"/>
    <w:rsid w:val="00A029C7"/>
    <w:rsid w:val="00A06A65"/>
    <w:rsid w:val="00A20C52"/>
    <w:rsid w:val="00A35797"/>
    <w:rsid w:val="00A84A89"/>
    <w:rsid w:val="00A859BD"/>
    <w:rsid w:val="00AE1B59"/>
    <w:rsid w:val="00AE42E9"/>
    <w:rsid w:val="00B01532"/>
    <w:rsid w:val="00B063A2"/>
    <w:rsid w:val="00B27B51"/>
    <w:rsid w:val="00B34B92"/>
    <w:rsid w:val="00B57DE8"/>
    <w:rsid w:val="00B6668E"/>
    <w:rsid w:val="00B96281"/>
    <w:rsid w:val="00BD1C82"/>
    <w:rsid w:val="00BD303F"/>
    <w:rsid w:val="00C04C52"/>
    <w:rsid w:val="00C140A5"/>
    <w:rsid w:val="00C220F2"/>
    <w:rsid w:val="00C55152"/>
    <w:rsid w:val="00C8685E"/>
    <w:rsid w:val="00CD2720"/>
    <w:rsid w:val="00CE29EE"/>
    <w:rsid w:val="00D04628"/>
    <w:rsid w:val="00D12DB5"/>
    <w:rsid w:val="00D15878"/>
    <w:rsid w:val="00D42F9E"/>
    <w:rsid w:val="00D5174B"/>
    <w:rsid w:val="00D636FF"/>
    <w:rsid w:val="00D84B56"/>
    <w:rsid w:val="00D97BED"/>
    <w:rsid w:val="00DC6D61"/>
    <w:rsid w:val="00DD1FDA"/>
    <w:rsid w:val="00DE4B8E"/>
    <w:rsid w:val="00DE60CE"/>
    <w:rsid w:val="00DF4DF2"/>
    <w:rsid w:val="00E36B60"/>
    <w:rsid w:val="00E50008"/>
    <w:rsid w:val="00EB3B6B"/>
    <w:rsid w:val="00F11135"/>
    <w:rsid w:val="00FA5D91"/>
    <w:rsid w:val="00FA6E73"/>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A0F06A"/>
  <w15:chartTrackingRefBased/>
  <w15:docId w15:val="{736CD9C0-984D-4A0A-82EE-87A37301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62FC"/>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131B4C"/>
    <w:pPr>
      <w:keepNext/>
      <w:keepLines/>
      <w:numPr>
        <w:numId w:val="10"/>
      </w:numPr>
      <w:spacing w:before="480" w:after="0"/>
      <w:outlineLvl w:val="0"/>
    </w:pPr>
    <w:rPr>
      <w:rFonts w:ascii="Cambria" w:eastAsia="Times New Roman" w:hAnsi="Cambria"/>
      <w:b/>
      <w:bCs/>
      <w:sz w:val="28"/>
      <w:szCs w:val="28"/>
    </w:rPr>
  </w:style>
  <w:style w:type="paragraph" w:styleId="Heading2">
    <w:name w:val="heading 2"/>
    <w:basedOn w:val="Normal"/>
    <w:next w:val="Normal"/>
    <w:link w:val="Heading2Char"/>
    <w:uiPriority w:val="9"/>
    <w:qFormat/>
    <w:rsid w:val="00131B4C"/>
    <w:pPr>
      <w:keepNext/>
      <w:keepLines/>
      <w:numPr>
        <w:ilvl w:val="1"/>
        <w:numId w:val="10"/>
      </w:num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qFormat/>
    <w:rsid w:val="00131B4C"/>
    <w:pPr>
      <w:keepNext/>
      <w:keepLines/>
      <w:numPr>
        <w:ilvl w:val="2"/>
        <w:numId w:val="10"/>
      </w:numPr>
      <w:spacing w:before="200" w:after="0"/>
      <w:outlineLvl w:val="2"/>
    </w:pPr>
    <w:rPr>
      <w:rFonts w:ascii="Cambria" w:eastAsia="Times New Roman" w:hAnsi="Cambria"/>
      <w:b/>
      <w:bCs/>
    </w:rPr>
  </w:style>
  <w:style w:type="paragraph" w:styleId="Heading4">
    <w:name w:val="heading 4"/>
    <w:basedOn w:val="Normal"/>
    <w:next w:val="Normal"/>
    <w:link w:val="Heading4Char"/>
    <w:uiPriority w:val="9"/>
    <w:qFormat/>
    <w:rsid w:val="00131B4C"/>
    <w:pPr>
      <w:keepNext/>
      <w:keepLines/>
      <w:numPr>
        <w:ilvl w:val="3"/>
        <w:numId w:val="10"/>
      </w:num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qFormat/>
    <w:rsid w:val="00131B4C"/>
    <w:pPr>
      <w:keepNext/>
      <w:keepLines/>
      <w:numPr>
        <w:ilvl w:val="4"/>
        <w:numId w:val="10"/>
      </w:numPr>
      <w:spacing w:before="200" w:after="0"/>
      <w:outlineLvl w:val="4"/>
    </w:pPr>
    <w:rPr>
      <w:rFonts w:ascii="Cambria" w:eastAsia="Times New Roman" w:hAnsi="Cambria"/>
    </w:rPr>
  </w:style>
  <w:style w:type="paragraph" w:styleId="Heading6">
    <w:name w:val="heading 6"/>
    <w:basedOn w:val="Normal"/>
    <w:next w:val="Normal"/>
    <w:link w:val="Heading6Char"/>
    <w:uiPriority w:val="9"/>
    <w:qFormat/>
    <w:rsid w:val="00131B4C"/>
    <w:pPr>
      <w:keepNext/>
      <w:keepLines/>
      <w:numPr>
        <w:ilvl w:val="5"/>
        <w:numId w:val="10"/>
      </w:numPr>
      <w:spacing w:before="200" w:after="0"/>
      <w:outlineLvl w:val="5"/>
    </w:pPr>
    <w:rPr>
      <w:rFonts w:ascii="Cambria" w:eastAsia="Times New Roman" w:hAnsi="Cambria"/>
      <w:i/>
      <w:iCs/>
    </w:rPr>
  </w:style>
  <w:style w:type="paragraph" w:styleId="Heading7">
    <w:name w:val="heading 7"/>
    <w:basedOn w:val="Normal"/>
    <w:next w:val="Normal"/>
    <w:link w:val="Heading7Char"/>
    <w:uiPriority w:val="9"/>
    <w:qFormat/>
    <w:rsid w:val="00131B4C"/>
    <w:pPr>
      <w:keepNext/>
      <w:keepLines/>
      <w:numPr>
        <w:ilvl w:val="6"/>
        <w:numId w:val="10"/>
      </w:numPr>
      <w:spacing w:before="200" w:after="0"/>
      <w:outlineLvl w:val="6"/>
    </w:pPr>
    <w:rPr>
      <w:rFonts w:ascii="Cambria" w:eastAsia="Times New Roman" w:hAnsi="Cambria"/>
      <w:i/>
      <w:iCs/>
    </w:rPr>
  </w:style>
  <w:style w:type="paragraph" w:styleId="Heading8">
    <w:name w:val="heading 8"/>
    <w:basedOn w:val="Normal"/>
    <w:next w:val="Normal"/>
    <w:link w:val="Heading8Char"/>
    <w:uiPriority w:val="9"/>
    <w:qFormat/>
    <w:rsid w:val="00131B4C"/>
    <w:pPr>
      <w:keepNext/>
      <w:keepLines/>
      <w:numPr>
        <w:ilvl w:val="7"/>
        <w:numId w:val="10"/>
      </w:numPr>
      <w:spacing w:before="200" w:after="0"/>
      <w:outlineLvl w:val="7"/>
    </w:pPr>
    <w:rPr>
      <w:rFonts w:ascii="Cambria" w:eastAsia="Times New Roman" w:hAnsi="Cambria"/>
      <w:sz w:val="20"/>
      <w:szCs w:val="20"/>
    </w:rPr>
  </w:style>
  <w:style w:type="paragraph" w:styleId="Heading9">
    <w:name w:val="heading 9"/>
    <w:basedOn w:val="Normal"/>
    <w:next w:val="Normal"/>
    <w:link w:val="Heading9Char"/>
    <w:uiPriority w:val="9"/>
    <w:qFormat/>
    <w:rsid w:val="00131B4C"/>
    <w:pPr>
      <w:keepNext/>
      <w:keepLines/>
      <w:numPr>
        <w:ilvl w:val="8"/>
        <w:numId w:val="10"/>
      </w:numPr>
      <w:spacing w:before="200" w:after="0"/>
      <w:outlineLvl w:val="8"/>
    </w:pPr>
    <w:rPr>
      <w:rFonts w:ascii="Cambria" w:eastAsia="Times New Roman" w:hAnsi="Cambria"/>
      <w:i/>
      <w:iCs/>
      <w:sz w:val="20"/>
      <w:szCs w:val="20"/>
    </w:rPr>
  </w:style>
  <w:style w:type="character" w:default="1" w:styleId="DefaultParagraphFont">
    <w:name w:val="Default Paragraph Font"/>
    <w:uiPriority w:val="1"/>
    <w:semiHidden/>
    <w:unhideWhenUsed/>
    <w:rsid w:val="005F62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62FC"/>
  </w:style>
  <w:style w:type="paragraph" w:customStyle="1" w:styleId="Abstract">
    <w:name w:val="Abstract"/>
    <w:link w:val="AbstractChar"/>
    <w:rsid w:val="00131B4C"/>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sid w:val="00131B4C"/>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131B4C"/>
    <w:pPr>
      <w:numPr>
        <w:numId w:val="11"/>
      </w:numPr>
      <w:spacing w:before="240" w:after="240"/>
      <w:ind w:left="0" w:firstLine="0"/>
    </w:pPr>
    <w:rPr>
      <w:b/>
    </w:rPr>
  </w:style>
  <w:style w:type="paragraph" w:customStyle="1" w:styleId="AuthoringGroup">
    <w:name w:val="Authoring Group"/>
    <w:link w:val="AuthoringGroupChar"/>
    <w:rsid w:val="00131B4C"/>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sid w:val="00131B4C"/>
    <w:rPr>
      <w:rFonts w:ascii="Arial" w:eastAsia="Arial Unicode MS" w:hAnsi="Arial" w:cs="Arial"/>
      <w:color w:val="000000"/>
      <w:sz w:val="24"/>
      <w:lang w:val="en-US" w:eastAsia="en-US"/>
    </w:rPr>
  </w:style>
  <w:style w:type="paragraph" w:customStyle="1" w:styleId="Background">
    <w:name w:val="Background"/>
    <w:aliases w:val="(A) Background"/>
    <w:basedOn w:val="Normal"/>
    <w:rsid w:val="00131B4C"/>
    <w:pPr>
      <w:numPr>
        <w:numId w:val="1"/>
      </w:numPr>
      <w:spacing w:before="120" w:after="120" w:line="300" w:lineRule="atLeast"/>
      <w:jc w:val="both"/>
    </w:pPr>
    <w:rPr>
      <w:rFonts w:eastAsia="Arial Unicode MS"/>
      <w:szCs w:val="20"/>
    </w:rPr>
  </w:style>
  <w:style w:type="paragraph" w:customStyle="1" w:styleId="BulletList1">
    <w:name w:val="Bullet List 1"/>
    <w:aliases w:val="Bullet1"/>
    <w:basedOn w:val="Normal"/>
    <w:rsid w:val="00131B4C"/>
    <w:pPr>
      <w:numPr>
        <w:numId w:val="2"/>
      </w:numPr>
      <w:spacing w:after="240" w:line="300" w:lineRule="atLeast"/>
      <w:jc w:val="both"/>
    </w:pPr>
    <w:rPr>
      <w:rFonts w:eastAsia="Arial Unicode MS"/>
      <w:szCs w:val="20"/>
    </w:rPr>
  </w:style>
  <w:style w:type="paragraph" w:customStyle="1" w:styleId="BulletList2">
    <w:name w:val="Bullet List 2"/>
    <w:aliases w:val="Bullet2"/>
    <w:basedOn w:val="Normal"/>
    <w:rsid w:val="00131B4C"/>
    <w:pPr>
      <w:numPr>
        <w:numId w:val="3"/>
      </w:numPr>
      <w:spacing w:after="120" w:line="240" w:lineRule="auto"/>
      <w:ind w:left="1080" w:hanging="720"/>
      <w:jc w:val="both"/>
    </w:pPr>
    <w:rPr>
      <w:rFonts w:eastAsia="Arial Unicode MS"/>
      <w:szCs w:val="20"/>
    </w:rPr>
  </w:style>
  <w:style w:type="paragraph" w:customStyle="1" w:styleId="BulletList3">
    <w:name w:val="Bullet List 3"/>
    <w:aliases w:val="Bullet3"/>
    <w:basedOn w:val="Normal"/>
    <w:rsid w:val="00131B4C"/>
    <w:pPr>
      <w:numPr>
        <w:numId w:val="4"/>
      </w:numPr>
      <w:spacing w:after="240" w:line="240" w:lineRule="auto"/>
      <w:jc w:val="both"/>
    </w:pPr>
    <w:rPr>
      <w:rFonts w:eastAsia="Arial Unicode MS"/>
      <w:szCs w:val="20"/>
    </w:rPr>
  </w:style>
  <w:style w:type="paragraph" w:customStyle="1" w:styleId="TitleClause">
    <w:name w:val="Title Clause"/>
    <w:basedOn w:val="Normal"/>
    <w:rsid w:val="00131B4C"/>
    <w:pPr>
      <w:keepNext/>
      <w:numPr>
        <w:numId w:val="23"/>
      </w:numPr>
      <w:spacing w:before="240" w:after="240" w:line="300" w:lineRule="atLeast"/>
      <w:jc w:val="both"/>
      <w:outlineLvl w:val="0"/>
    </w:pPr>
    <w:rPr>
      <w:rFonts w:eastAsia="Arial Unicode MS"/>
      <w:b/>
      <w:kern w:val="28"/>
      <w:szCs w:val="20"/>
    </w:rPr>
  </w:style>
  <w:style w:type="paragraph" w:customStyle="1" w:styleId="ClauseNoTitle">
    <w:name w:val="Clause No Title"/>
    <w:basedOn w:val="TitleClause"/>
    <w:rsid w:val="00131B4C"/>
    <w:rPr>
      <w:b w:val="0"/>
      <w:smallCaps/>
    </w:rPr>
  </w:style>
  <w:style w:type="paragraph" w:customStyle="1" w:styleId="ClosingPara">
    <w:name w:val="Closing Para"/>
    <w:basedOn w:val="Normal"/>
    <w:rsid w:val="00131B4C"/>
    <w:pPr>
      <w:spacing w:before="120" w:after="240" w:line="300" w:lineRule="atLeast"/>
      <w:jc w:val="both"/>
    </w:pPr>
    <w:rPr>
      <w:rFonts w:eastAsia="Arial Unicode MS"/>
      <w:szCs w:val="20"/>
    </w:rPr>
  </w:style>
  <w:style w:type="paragraph" w:customStyle="1" w:styleId="ClosingSignOff">
    <w:name w:val="Closing SignOff"/>
    <w:basedOn w:val="Normal"/>
    <w:rsid w:val="00131B4C"/>
    <w:pPr>
      <w:spacing w:after="120" w:line="300" w:lineRule="atLeast"/>
      <w:jc w:val="both"/>
    </w:pPr>
    <w:rPr>
      <w:rFonts w:eastAsia="Arial Unicode MS"/>
      <w:szCs w:val="20"/>
    </w:rPr>
  </w:style>
  <w:style w:type="paragraph" w:customStyle="1" w:styleId="CoversheetTitle">
    <w:name w:val="Coversheet Title"/>
    <w:basedOn w:val="Normal"/>
    <w:autoRedefine/>
    <w:rsid w:val="00131B4C"/>
    <w:pPr>
      <w:spacing w:before="480" w:after="480" w:line="300" w:lineRule="atLeast"/>
      <w:jc w:val="center"/>
    </w:pPr>
    <w:rPr>
      <w:rFonts w:eastAsia="Arial Unicode MS"/>
      <w:b/>
      <w:smallCaps/>
      <w:sz w:val="28"/>
      <w:szCs w:val="20"/>
    </w:rPr>
  </w:style>
  <w:style w:type="paragraph" w:customStyle="1" w:styleId="CoverSheetHeading">
    <w:name w:val="Cover Sheet Heading"/>
    <w:aliases w:val="Coversheet Title2"/>
    <w:basedOn w:val="CoversheetTitle"/>
    <w:rsid w:val="00131B4C"/>
  </w:style>
  <w:style w:type="paragraph" w:customStyle="1" w:styleId="CoverSheetSubjectText">
    <w:name w:val="Cover Sheet Subject Text"/>
    <w:basedOn w:val="Normal"/>
    <w:rsid w:val="00131B4C"/>
    <w:pPr>
      <w:spacing w:after="0" w:line="300" w:lineRule="atLeast"/>
      <w:jc w:val="center"/>
    </w:pPr>
    <w:rPr>
      <w:rFonts w:eastAsia="Arial Unicode MS"/>
      <w:szCs w:val="20"/>
    </w:rPr>
  </w:style>
  <w:style w:type="paragraph" w:customStyle="1" w:styleId="CoverSheetSubjectTitle">
    <w:name w:val="Cover Sheet Subject Title"/>
    <w:basedOn w:val="Normal"/>
    <w:rsid w:val="00131B4C"/>
    <w:pPr>
      <w:spacing w:after="0" w:line="300" w:lineRule="atLeast"/>
      <w:jc w:val="center"/>
    </w:pPr>
    <w:rPr>
      <w:rFonts w:eastAsia="Arial Unicode MS"/>
      <w:szCs w:val="20"/>
    </w:rPr>
  </w:style>
  <w:style w:type="paragraph" w:customStyle="1" w:styleId="DefinedTermPara">
    <w:name w:val="Defined Term Para"/>
    <w:basedOn w:val="Paragraph"/>
    <w:qFormat/>
    <w:rsid w:val="00131B4C"/>
    <w:pPr>
      <w:numPr>
        <w:numId w:val="24"/>
      </w:numPr>
    </w:pPr>
  </w:style>
  <w:style w:type="paragraph" w:customStyle="1" w:styleId="DescriptiveHeading">
    <w:name w:val="DescriptiveHeading"/>
    <w:next w:val="Paragraph"/>
    <w:link w:val="DescriptiveHeadingChar"/>
    <w:rsid w:val="00131B4C"/>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sid w:val="00131B4C"/>
    <w:rPr>
      <w:rFonts w:ascii="Arial" w:eastAsia="Arial Unicode MS" w:hAnsi="Arial" w:cs="Arial"/>
      <w:b/>
      <w:color w:val="000000"/>
      <w:lang w:val="en-US" w:eastAsia="en-US"/>
    </w:rPr>
  </w:style>
  <w:style w:type="paragraph" w:customStyle="1" w:styleId="DraftingnoteSection1Para">
    <w:name w:val="Draftingnote Section1 Para"/>
    <w:basedOn w:val="Normal"/>
    <w:rsid w:val="00131B4C"/>
    <w:pPr>
      <w:spacing w:after="120" w:line="300" w:lineRule="atLeast"/>
      <w:jc w:val="both"/>
    </w:pPr>
    <w:rPr>
      <w:rFonts w:eastAsia="Arial Unicode MS"/>
      <w:szCs w:val="20"/>
    </w:rPr>
  </w:style>
  <w:style w:type="paragraph" w:customStyle="1" w:styleId="DraftingnoteSection1Title">
    <w:name w:val="Draftingnote Section1 Title"/>
    <w:basedOn w:val="Normal"/>
    <w:rsid w:val="00131B4C"/>
    <w:pPr>
      <w:spacing w:after="120" w:line="300" w:lineRule="atLeast"/>
      <w:jc w:val="both"/>
    </w:pPr>
    <w:rPr>
      <w:rFonts w:eastAsia="Arial Unicode MS"/>
      <w:b/>
      <w:sz w:val="36"/>
      <w:szCs w:val="20"/>
    </w:rPr>
  </w:style>
  <w:style w:type="paragraph" w:customStyle="1" w:styleId="DraftingnoteSection2Para">
    <w:name w:val="Draftingnote Section2 Para"/>
    <w:basedOn w:val="Normal"/>
    <w:rsid w:val="00131B4C"/>
    <w:pPr>
      <w:spacing w:after="120" w:line="300" w:lineRule="atLeast"/>
      <w:jc w:val="both"/>
    </w:pPr>
    <w:rPr>
      <w:rFonts w:eastAsia="Arial Unicode MS"/>
      <w:szCs w:val="20"/>
    </w:rPr>
  </w:style>
  <w:style w:type="paragraph" w:customStyle="1" w:styleId="DraftingnoteSection2Title">
    <w:name w:val="Draftingnote Section2 Title"/>
    <w:basedOn w:val="Normal"/>
    <w:rsid w:val="00131B4C"/>
    <w:pPr>
      <w:spacing w:after="120" w:line="300" w:lineRule="atLeast"/>
      <w:jc w:val="both"/>
    </w:pPr>
    <w:rPr>
      <w:rFonts w:eastAsia="Arial Unicode MS"/>
      <w:b/>
      <w:sz w:val="28"/>
      <w:szCs w:val="20"/>
    </w:rPr>
  </w:style>
  <w:style w:type="paragraph" w:customStyle="1" w:styleId="DraftingnoteSection3Para">
    <w:name w:val="Draftingnote Section3 Para"/>
    <w:basedOn w:val="Normal"/>
    <w:rsid w:val="00131B4C"/>
    <w:pPr>
      <w:spacing w:after="120" w:line="300" w:lineRule="atLeast"/>
      <w:jc w:val="both"/>
    </w:pPr>
    <w:rPr>
      <w:rFonts w:eastAsia="Arial Unicode MS"/>
      <w:szCs w:val="20"/>
    </w:rPr>
  </w:style>
  <w:style w:type="paragraph" w:customStyle="1" w:styleId="DraftingnoteSection3Title">
    <w:name w:val="Draftingnote Section3 Title"/>
    <w:basedOn w:val="Normal"/>
    <w:rsid w:val="00131B4C"/>
    <w:pPr>
      <w:spacing w:after="120" w:line="300" w:lineRule="atLeast"/>
      <w:jc w:val="both"/>
    </w:pPr>
    <w:rPr>
      <w:rFonts w:eastAsia="Arial Unicode MS"/>
      <w:b/>
      <w:i/>
      <w:sz w:val="28"/>
      <w:szCs w:val="20"/>
    </w:rPr>
  </w:style>
  <w:style w:type="paragraph" w:customStyle="1" w:styleId="DraftingnoteSection4Para">
    <w:name w:val="Draftingnote Section4 Para"/>
    <w:basedOn w:val="Normal"/>
    <w:rsid w:val="00131B4C"/>
    <w:pPr>
      <w:spacing w:after="120" w:line="300" w:lineRule="atLeast"/>
      <w:jc w:val="both"/>
    </w:pPr>
    <w:rPr>
      <w:rFonts w:eastAsia="Arial Unicode MS"/>
      <w:szCs w:val="20"/>
    </w:rPr>
  </w:style>
  <w:style w:type="paragraph" w:customStyle="1" w:styleId="DraftingnoteSection4Title">
    <w:name w:val="Draftingnote Section4 Title"/>
    <w:basedOn w:val="Normal"/>
    <w:rsid w:val="00131B4C"/>
    <w:pPr>
      <w:spacing w:after="120" w:line="300" w:lineRule="atLeast"/>
      <w:jc w:val="both"/>
    </w:pPr>
    <w:rPr>
      <w:rFonts w:eastAsia="Arial Unicode MS"/>
      <w:b/>
      <w:i/>
      <w:sz w:val="28"/>
      <w:szCs w:val="20"/>
    </w:rPr>
  </w:style>
  <w:style w:type="paragraph" w:customStyle="1" w:styleId="DraftingnoteTitle">
    <w:name w:val="Draftingnote Title"/>
    <w:basedOn w:val="Normal"/>
    <w:rsid w:val="00131B4C"/>
    <w:pPr>
      <w:spacing w:after="120" w:line="300" w:lineRule="atLeast"/>
      <w:jc w:val="both"/>
    </w:pPr>
    <w:rPr>
      <w:rFonts w:eastAsia="Arial Unicode MS"/>
      <w:b/>
      <w:sz w:val="28"/>
      <w:szCs w:val="20"/>
    </w:rPr>
  </w:style>
  <w:style w:type="paragraph" w:customStyle="1" w:styleId="FulltextBridgehead">
    <w:name w:val="Fulltext Bridgehead"/>
    <w:basedOn w:val="Normal"/>
    <w:rsid w:val="00131B4C"/>
    <w:pPr>
      <w:spacing w:after="120" w:line="300" w:lineRule="atLeast"/>
      <w:jc w:val="both"/>
    </w:pPr>
    <w:rPr>
      <w:rFonts w:eastAsia="Arial Unicode MS"/>
      <w:b/>
      <w:sz w:val="48"/>
      <w:szCs w:val="20"/>
    </w:rPr>
  </w:style>
  <w:style w:type="paragraph" w:customStyle="1" w:styleId="FulltextSection1Para">
    <w:name w:val="Fulltext Section1 Para"/>
    <w:basedOn w:val="Normal"/>
    <w:rsid w:val="00131B4C"/>
    <w:pPr>
      <w:spacing w:after="120" w:line="300" w:lineRule="atLeast"/>
      <w:jc w:val="both"/>
    </w:pPr>
    <w:rPr>
      <w:rFonts w:eastAsia="Arial Unicode MS"/>
      <w:szCs w:val="20"/>
    </w:rPr>
  </w:style>
  <w:style w:type="paragraph" w:customStyle="1" w:styleId="FulltextSection1Title">
    <w:name w:val="Fulltext Section1 Title"/>
    <w:basedOn w:val="Normal"/>
    <w:rsid w:val="00131B4C"/>
    <w:pPr>
      <w:spacing w:after="120" w:line="300" w:lineRule="atLeast"/>
      <w:jc w:val="both"/>
    </w:pPr>
    <w:rPr>
      <w:rFonts w:eastAsia="Arial Unicode MS"/>
      <w:b/>
      <w:sz w:val="36"/>
      <w:szCs w:val="20"/>
    </w:rPr>
  </w:style>
  <w:style w:type="paragraph" w:customStyle="1" w:styleId="FulltextSection2Para">
    <w:name w:val="Fulltext Section2 Para"/>
    <w:basedOn w:val="Normal"/>
    <w:rsid w:val="00131B4C"/>
    <w:pPr>
      <w:spacing w:after="120" w:line="300" w:lineRule="atLeast"/>
      <w:jc w:val="both"/>
    </w:pPr>
    <w:rPr>
      <w:rFonts w:eastAsia="Arial Unicode MS"/>
      <w:szCs w:val="20"/>
    </w:rPr>
  </w:style>
  <w:style w:type="paragraph" w:customStyle="1" w:styleId="FulltextSection2Title">
    <w:name w:val="Fulltext Section2 Title"/>
    <w:basedOn w:val="Normal"/>
    <w:rsid w:val="00131B4C"/>
    <w:pPr>
      <w:spacing w:after="120" w:line="300" w:lineRule="atLeast"/>
      <w:jc w:val="both"/>
    </w:pPr>
    <w:rPr>
      <w:rFonts w:eastAsia="Arial Unicode MS"/>
      <w:b/>
      <w:sz w:val="28"/>
      <w:szCs w:val="20"/>
    </w:rPr>
  </w:style>
  <w:style w:type="paragraph" w:customStyle="1" w:styleId="FulltextSection3Para">
    <w:name w:val="Fulltext Section3 Para"/>
    <w:basedOn w:val="Normal"/>
    <w:rsid w:val="00131B4C"/>
    <w:pPr>
      <w:spacing w:after="120" w:line="300" w:lineRule="atLeast"/>
      <w:jc w:val="both"/>
    </w:pPr>
    <w:rPr>
      <w:rFonts w:eastAsia="Arial Unicode MS"/>
      <w:szCs w:val="20"/>
    </w:rPr>
  </w:style>
  <w:style w:type="paragraph" w:customStyle="1" w:styleId="FulltextSection3Title">
    <w:name w:val="Fulltext Section3 Title"/>
    <w:basedOn w:val="Normal"/>
    <w:rsid w:val="00131B4C"/>
    <w:pPr>
      <w:spacing w:after="120" w:line="300" w:lineRule="atLeast"/>
      <w:jc w:val="both"/>
    </w:pPr>
    <w:rPr>
      <w:rFonts w:eastAsia="Arial Unicode MS"/>
      <w:b/>
      <w:i/>
      <w:sz w:val="28"/>
      <w:szCs w:val="20"/>
    </w:rPr>
  </w:style>
  <w:style w:type="paragraph" w:customStyle="1" w:styleId="FulltextSection4Para">
    <w:name w:val="Fulltext Section4 Para"/>
    <w:basedOn w:val="Normal"/>
    <w:rsid w:val="00131B4C"/>
    <w:pPr>
      <w:spacing w:after="120" w:line="300" w:lineRule="atLeast"/>
      <w:jc w:val="both"/>
    </w:pPr>
    <w:rPr>
      <w:rFonts w:eastAsia="Arial Unicode MS"/>
      <w:szCs w:val="20"/>
    </w:rPr>
  </w:style>
  <w:style w:type="paragraph" w:customStyle="1" w:styleId="FulltextSection4Title">
    <w:name w:val="Fulltext Section4 Title"/>
    <w:basedOn w:val="Normal"/>
    <w:rsid w:val="00131B4C"/>
    <w:pPr>
      <w:spacing w:after="120" w:line="300" w:lineRule="atLeast"/>
      <w:jc w:val="both"/>
    </w:pPr>
    <w:rPr>
      <w:rFonts w:eastAsia="Arial Unicode MS"/>
      <w:b/>
      <w:i/>
      <w:sz w:val="28"/>
      <w:szCs w:val="20"/>
    </w:rPr>
  </w:style>
  <w:style w:type="paragraph" w:customStyle="1" w:styleId="GlossItemGlossdefPara">
    <w:name w:val="GlossItem Glossdef Para"/>
    <w:basedOn w:val="Normal"/>
    <w:rsid w:val="00131B4C"/>
    <w:pPr>
      <w:spacing w:after="120" w:line="300" w:lineRule="atLeast"/>
      <w:jc w:val="both"/>
    </w:pPr>
    <w:rPr>
      <w:rFonts w:eastAsia="Arial Unicode MS"/>
      <w:szCs w:val="20"/>
    </w:rPr>
  </w:style>
  <w:style w:type="paragraph" w:customStyle="1" w:styleId="GlossItemGlossterm">
    <w:name w:val="GlossItem Glossterm"/>
    <w:basedOn w:val="Normal"/>
    <w:rsid w:val="00131B4C"/>
    <w:pPr>
      <w:spacing w:after="120" w:line="300" w:lineRule="atLeast"/>
      <w:jc w:val="both"/>
    </w:pPr>
    <w:rPr>
      <w:rFonts w:eastAsia="Arial Unicode MS"/>
      <w:b/>
      <w:sz w:val="48"/>
      <w:szCs w:val="20"/>
    </w:rPr>
  </w:style>
  <w:style w:type="paragraph" w:customStyle="1" w:styleId="HeadingAddressLine">
    <w:name w:val="Heading Address Line"/>
    <w:basedOn w:val="Normal"/>
    <w:rsid w:val="00131B4C"/>
    <w:pPr>
      <w:spacing w:after="120" w:line="300" w:lineRule="atLeast"/>
      <w:jc w:val="both"/>
    </w:pPr>
    <w:rPr>
      <w:rFonts w:eastAsia="Arial Unicode MS"/>
      <w:szCs w:val="20"/>
    </w:rPr>
  </w:style>
  <w:style w:type="paragraph" w:customStyle="1" w:styleId="HeadingDate">
    <w:name w:val="Heading Date"/>
    <w:basedOn w:val="Normal"/>
    <w:rsid w:val="00131B4C"/>
    <w:pPr>
      <w:spacing w:after="120" w:line="300" w:lineRule="atLeast"/>
      <w:jc w:val="both"/>
    </w:pPr>
    <w:rPr>
      <w:rFonts w:eastAsia="Arial Unicode MS"/>
      <w:szCs w:val="20"/>
    </w:rPr>
  </w:style>
  <w:style w:type="paragraph" w:customStyle="1" w:styleId="HeadingLetterheadBasedOnAttribute">
    <w:name w:val="Heading Letterhead Based On Attribute"/>
    <w:basedOn w:val="Normal"/>
    <w:rsid w:val="00131B4C"/>
    <w:pPr>
      <w:spacing w:after="120" w:line="300" w:lineRule="atLeast"/>
      <w:jc w:val="both"/>
    </w:pPr>
    <w:rPr>
      <w:rFonts w:eastAsia="Arial Unicode MS"/>
      <w:szCs w:val="20"/>
    </w:rPr>
  </w:style>
  <w:style w:type="paragraph" w:customStyle="1" w:styleId="HeadingSalutation">
    <w:name w:val="Heading Salutation"/>
    <w:basedOn w:val="Normal"/>
    <w:rsid w:val="00131B4C"/>
    <w:pPr>
      <w:spacing w:after="120" w:line="300" w:lineRule="atLeast"/>
      <w:jc w:val="both"/>
    </w:pPr>
    <w:rPr>
      <w:rFonts w:eastAsia="Arial Unicode MS"/>
      <w:szCs w:val="20"/>
    </w:rPr>
  </w:style>
  <w:style w:type="paragraph" w:customStyle="1" w:styleId="IgnoredSpacing">
    <w:name w:val="Ignored Spacing"/>
    <w:link w:val="IgnoredSpacingChar"/>
    <w:rsid w:val="00131B4C"/>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131B4C"/>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131B4C"/>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sid w:val="00131B4C"/>
    <w:rPr>
      <w:rFonts w:ascii="Arial" w:eastAsia="Arial Unicode MS" w:hAnsi="Arial" w:cs="Arial"/>
      <w:color w:val="000000"/>
      <w:sz w:val="24"/>
      <w:lang w:val="en-US" w:eastAsia="en-US"/>
    </w:rPr>
  </w:style>
  <w:style w:type="paragraph" w:customStyle="1" w:styleId="MaintenanceEditor">
    <w:name w:val="Maintenance Editor"/>
    <w:link w:val="MaintenanceEditorChar"/>
    <w:rsid w:val="00131B4C"/>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sid w:val="00131B4C"/>
    <w:rPr>
      <w:rFonts w:ascii="Arial" w:eastAsia="Arial Unicode MS" w:hAnsi="Arial" w:cs="Arial"/>
      <w:color w:val="000000"/>
      <w:sz w:val="24"/>
      <w:lang w:val="en-US" w:eastAsia="en-US"/>
    </w:rPr>
  </w:style>
  <w:style w:type="paragraph" w:customStyle="1" w:styleId="ParaClause">
    <w:name w:val="Para Clause"/>
    <w:basedOn w:val="Normal"/>
    <w:rsid w:val="00131B4C"/>
    <w:pPr>
      <w:spacing w:before="120" w:after="120" w:line="300" w:lineRule="atLeast"/>
      <w:ind w:left="720"/>
      <w:jc w:val="both"/>
    </w:pPr>
    <w:rPr>
      <w:rFonts w:eastAsia="Arial Unicode MS"/>
      <w:szCs w:val="20"/>
    </w:rPr>
  </w:style>
  <w:style w:type="paragraph" w:customStyle="1" w:styleId="Parasubclause1">
    <w:name w:val="Para subclause 1"/>
    <w:aliases w:val="BIWS Heading 2"/>
    <w:basedOn w:val="Normal"/>
    <w:rsid w:val="00131B4C"/>
    <w:pPr>
      <w:spacing w:before="240" w:after="120" w:line="300" w:lineRule="atLeast"/>
      <w:ind w:left="720"/>
      <w:jc w:val="both"/>
    </w:pPr>
    <w:rPr>
      <w:rFonts w:eastAsia="Arial Unicode MS"/>
      <w:szCs w:val="20"/>
    </w:rPr>
  </w:style>
  <w:style w:type="paragraph" w:customStyle="1" w:styleId="Untitledsubclause1">
    <w:name w:val="Untitled subclause 1"/>
    <w:basedOn w:val="Normal"/>
    <w:rsid w:val="00131B4C"/>
    <w:pPr>
      <w:numPr>
        <w:ilvl w:val="1"/>
        <w:numId w:val="23"/>
      </w:numPr>
      <w:spacing w:before="280" w:after="120" w:line="300" w:lineRule="atLeast"/>
      <w:jc w:val="both"/>
      <w:outlineLvl w:val="1"/>
    </w:pPr>
    <w:rPr>
      <w:rFonts w:eastAsia="Arial Unicode MS"/>
      <w:szCs w:val="20"/>
    </w:rPr>
  </w:style>
  <w:style w:type="paragraph" w:customStyle="1" w:styleId="Parasubclause2">
    <w:name w:val="Para subclause 2"/>
    <w:aliases w:val="BIWS Heading 3"/>
    <w:basedOn w:val="Normal"/>
    <w:rsid w:val="00131B4C"/>
    <w:pPr>
      <w:spacing w:after="240" w:line="300" w:lineRule="atLeast"/>
      <w:ind w:left="1559"/>
      <w:jc w:val="both"/>
    </w:pPr>
    <w:rPr>
      <w:rFonts w:eastAsia="Arial Unicode MS"/>
      <w:szCs w:val="20"/>
    </w:rPr>
  </w:style>
  <w:style w:type="paragraph" w:customStyle="1" w:styleId="Untitledsubclause2">
    <w:name w:val="Untitled subclause 2"/>
    <w:basedOn w:val="Normal"/>
    <w:rsid w:val="00131B4C"/>
    <w:pPr>
      <w:numPr>
        <w:ilvl w:val="2"/>
        <w:numId w:val="23"/>
      </w:numPr>
      <w:spacing w:after="120" w:line="300" w:lineRule="atLeast"/>
      <w:jc w:val="both"/>
      <w:outlineLvl w:val="2"/>
    </w:pPr>
    <w:rPr>
      <w:rFonts w:eastAsia="Arial Unicode MS"/>
      <w:szCs w:val="20"/>
    </w:rPr>
  </w:style>
  <w:style w:type="paragraph" w:customStyle="1" w:styleId="Parasubclause3">
    <w:name w:val="Para subclause 3"/>
    <w:aliases w:val="BIWS Heading 4"/>
    <w:basedOn w:val="Normal"/>
    <w:next w:val="Untitledsubclause2"/>
    <w:rsid w:val="00131B4C"/>
    <w:pPr>
      <w:spacing w:after="120" w:line="300" w:lineRule="atLeast"/>
      <w:ind w:left="2268"/>
      <w:jc w:val="both"/>
    </w:pPr>
    <w:rPr>
      <w:rFonts w:eastAsia="Arial Unicode MS"/>
      <w:szCs w:val="20"/>
    </w:rPr>
  </w:style>
  <w:style w:type="paragraph" w:customStyle="1" w:styleId="Untitledsubclause3">
    <w:name w:val="Untitled subclause 3"/>
    <w:basedOn w:val="Normal"/>
    <w:rsid w:val="00131B4C"/>
    <w:pPr>
      <w:numPr>
        <w:ilvl w:val="3"/>
        <w:numId w:val="23"/>
      </w:numPr>
      <w:tabs>
        <w:tab w:val="left" w:pos="2261"/>
      </w:tabs>
      <w:spacing w:after="120" w:line="300" w:lineRule="atLeast"/>
      <w:jc w:val="both"/>
      <w:outlineLvl w:val="3"/>
    </w:pPr>
    <w:rPr>
      <w:rFonts w:eastAsia="Arial Unicode MS"/>
      <w:szCs w:val="20"/>
    </w:rPr>
  </w:style>
  <w:style w:type="paragraph" w:customStyle="1" w:styleId="Parasubclause4">
    <w:name w:val="Para subclause 4"/>
    <w:aliases w:val="BIWS Heading 5"/>
    <w:basedOn w:val="Parasubclause3"/>
    <w:rsid w:val="00131B4C"/>
    <w:pPr>
      <w:spacing w:after="240"/>
      <w:ind w:left="3028"/>
    </w:pPr>
  </w:style>
  <w:style w:type="paragraph" w:customStyle="1" w:styleId="Untitledsubclause4">
    <w:name w:val="Untitled subclause 4"/>
    <w:basedOn w:val="Normal"/>
    <w:rsid w:val="00131B4C"/>
    <w:pPr>
      <w:numPr>
        <w:ilvl w:val="4"/>
        <w:numId w:val="23"/>
      </w:numPr>
      <w:spacing w:after="120" w:line="300" w:lineRule="atLeast"/>
      <w:jc w:val="both"/>
      <w:outlineLvl w:val="4"/>
    </w:pPr>
    <w:rPr>
      <w:rFonts w:eastAsia="Arial Unicode MS"/>
      <w:szCs w:val="20"/>
    </w:rPr>
  </w:style>
  <w:style w:type="paragraph" w:customStyle="1" w:styleId="Para">
    <w:name w:val="Para"/>
    <w:aliases w:val="PLC Style - Normal"/>
    <w:basedOn w:val="Normal"/>
    <w:rsid w:val="00131B4C"/>
    <w:pPr>
      <w:spacing w:after="120" w:line="300" w:lineRule="atLeast"/>
      <w:jc w:val="both"/>
    </w:pPr>
    <w:rPr>
      <w:rFonts w:eastAsia="Arial Unicode MS"/>
      <w:szCs w:val="20"/>
    </w:rPr>
  </w:style>
  <w:style w:type="paragraph" w:customStyle="1" w:styleId="Parties">
    <w:name w:val="Parties"/>
    <w:aliases w:val="(1) Parties"/>
    <w:basedOn w:val="Normal"/>
    <w:rsid w:val="00131B4C"/>
    <w:pPr>
      <w:numPr>
        <w:numId w:val="5"/>
      </w:numPr>
      <w:spacing w:before="120" w:after="120" w:line="300" w:lineRule="atLeast"/>
      <w:jc w:val="both"/>
    </w:pPr>
    <w:rPr>
      <w:rFonts w:eastAsia="Arial Unicode MS"/>
      <w:szCs w:val="20"/>
    </w:rPr>
  </w:style>
  <w:style w:type="paragraph" w:customStyle="1" w:styleId="ResourceHistoryAuthor">
    <w:name w:val="Resource History Author"/>
    <w:link w:val="ResourceHistoryAuthorChar"/>
    <w:rsid w:val="00131B4C"/>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131B4C"/>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131B4C"/>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131B4C"/>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131B4C"/>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sid w:val="00131B4C"/>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131B4C"/>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sid w:val="00131B4C"/>
    <w:rPr>
      <w:rFonts w:ascii="Arial" w:eastAsia="Arial Unicode MS" w:hAnsi="Arial" w:cs="Arial"/>
      <w:b/>
      <w:bCs/>
      <w:color w:val="000000"/>
      <w:sz w:val="24"/>
      <w:lang w:val="en-US" w:eastAsia="en-US"/>
    </w:rPr>
  </w:style>
  <w:style w:type="paragraph" w:customStyle="1" w:styleId="ResourceType">
    <w:name w:val="Resource Type"/>
    <w:link w:val="ResourceTypeChar"/>
    <w:rsid w:val="00131B4C"/>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131B4C"/>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131B4C"/>
    <w:pPr>
      <w:numPr>
        <w:numId w:val="6"/>
      </w:numPr>
      <w:spacing w:before="240" w:after="360" w:line="300" w:lineRule="atLeast"/>
      <w:jc w:val="both"/>
    </w:pPr>
    <w:rPr>
      <w:rFonts w:eastAsia="Arial Unicode MS"/>
      <w:b/>
      <w:kern w:val="28"/>
      <w:szCs w:val="20"/>
    </w:rPr>
  </w:style>
  <w:style w:type="paragraph" w:customStyle="1" w:styleId="ScheduleHeading">
    <w:name w:val="Schedule Heading"/>
    <w:aliases w:val="Sch   main head"/>
    <w:basedOn w:val="Normal"/>
    <w:next w:val="Normal"/>
    <w:autoRedefine/>
    <w:rsid w:val="00131B4C"/>
    <w:pPr>
      <w:keepNext/>
      <w:pageBreakBefore/>
      <w:numPr>
        <w:numId w:val="7"/>
      </w:numPr>
      <w:spacing w:before="240" w:after="360" w:line="300" w:lineRule="atLeast"/>
      <w:jc w:val="center"/>
      <w:outlineLvl w:val="0"/>
    </w:pPr>
    <w:rPr>
      <w:rFonts w:eastAsia="Arial Unicode MS"/>
      <w:b/>
      <w:kern w:val="28"/>
      <w:szCs w:val="20"/>
    </w:rPr>
  </w:style>
  <w:style w:type="paragraph" w:customStyle="1" w:styleId="SectionHeading">
    <w:name w:val="Section Heading"/>
    <w:aliases w:val="1stIntroHeadings"/>
    <w:basedOn w:val="Normal"/>
    <w:next w:val="Normal"/>
    <w:rsid w:val="00131B4C"/>
    <w:pPr>
      <w:tabs>
        <w:tab w:val="left" w:pos="709"/>
      </w:tabs>
      <w:spacing w:before="120" w:after="120" w:line="300" w:lineRule="atLeast"/>
      <w:jc w:val="both"/>
    </w:pPr>
    <w:rPr>
      <w:rFonts w:eastAsia="Arial Unicode MS"/>
      <w:b/>
      <w:smallCaps/>
      <w:sz w:val="24"/>
      <w:szCs w:val="20"/>
    </w:rPr>
  </w:style>
  <w:style w:type="paragraph" w:customStyle="1" w:styleId="Shortquestion">
    <w:name w:val="Shortquestion"/>
    <w:basedOn w:val="Normal"/>
    <w:rsid w:val="00131B4C"/>
    <w:pPr>
      <w:spacing w:after="120" w:line="300" w:lineRule="atLeast"/>
      <w:jc w:val="both"/>
    </w:pPr>
    <w:rPr>
      <w:rFonts w:eastAsia="Arial Unicode MS"/>
      <w:szCs w:val="20"/>
    </w:rPr>
  </w:style>
  <w:style w:type="paragraph" w:customStyle="1" w:styleId="SpeedreadPara">
    <w:name w:val="Speedread Para"/>
    <w:basedOn w:val="Normal"/>
    <w:rsid w:val="00131B4C"/>
    <w:pPr>
      <w:spacing w:after="120" w:line="300" w:lineRule="atLeast"/>
      <w:jc w:val="both"/>
    </w:pPr>
    <w:rPr>
      <w:rFonts w:eastAsia="Arial Unicode MS"/>
      <w:szCs w:val="20"/>
    </w:rPr>
  </w:style>
  <w:style w:type="paragraph" w:customStyle="1" w:styleId="SpeedreadSection1Para">
    <w:name w:val="Speedread Section1 Para"/>
    <w:basedOn w:val="Normal"/>
    <w:rsid w:val="00131B4C"/>
    <w:pPr>
      <w:spacing w:after="120" w:line="300" w:lineRule="atLeast"/>
      <w:jc w:val="both"/>
    </w:pPr>
    <w:rPr>
      <w:rFonts w:eastAsia="Arial Unicode MS"/>
      <w:szCs w:val="20"/>
    </w:rPr>
  </w:style>
  <w:style w:type="paragraph" w:customStyle="1" w:styleId="SpeedreadSection1Text">
    <w:name w:val="Speedread Section1 Text"/>
    <w:basedOn w:val="Normal"/>
    <w:rsid w:val="00131B4C"/>
    <w:pPr>
      <w:spacing w:after="120" w:line="300" w:lineRule="atLeast"/>
      <w:jc w:val="both"/>
    </w:pPr>
    <w:rPr>
      <w:rFonts w:eastAsia="Arial Unicode MS"/>
      <w:szCs w:val="20"/>
    </w:rPr>
  </w:style>
  <w:style w:type="paragraph" w:customStyle="1" w:styleId="SpeedreadText">
    <w:name w:val="Speedread Text"/>
    <w:basedOn w:val="Normal"/>
    <w:rsid w:val="00131B4C"/>
    <w:pPr>
      <w:spacing w:after="120" w:line="300" w:lineRule="atLeast"/>
      <w:jc w:val="both"/>
    </w:pPr>
    <w:rPr>
      <w:rFonts w:eastAsia="Arial Unicode MS"/>
      <w:szCs w:val="20"/>
    </w:rPr>
  </w:style>
  <w:style w:type="paragraph" w:customStyle="1" w:styleId="SpeedreadTitle">
    <w:name w:val="Speedread Title"/>
    <w:basedOn w:val="Normal"/>
    <w:rsid w:val="00131B4C"/>
    <w:pPr>
      <w:spacing w:after="120" w:line="300" w:lineRule="atLeast"/>
      <w:jc w:val="both"/>
    </w:pPr>
    <w:rPr>
      <w:rFonts w:eastAsia="Arial Unicode MS"/>
      <w:b/>
      <w:sz w:val="36"/>
      <w:szCs w:val="20"/>
    </w:rPr>
  </w:style>
  <w:style w:type="paragraph" w:customStyle="1" w:styleId="TemplateType">
    <w:name w:val="Template Type"/>
    <w:link w:val="TemplateTypeChar"/>
    <w:rsid w:val="00131B4C"/>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131B4C"/>
    <w:rPr>
      <w:rFonts w:ascii="Arial" w:eastAsia="Arial Unicode MS" w:hAnsi="Arial" w:cs="Arial"/>
      <w:color w:val="000000"/>
      <w:sz w:val="24"/>
      <w:szCs w:val="24"/>
      <w:lang w:val="en-US" w:eastAsia="en-US"/>
    </w:rPr>
  </w:style>
  <w:style w:type="paragraph" w:styleId="Title">
    <w:name w:val="Title"/>
    <w:link w:val="TitleChar"/>
    <w:qFormat/>
    <w:rsid w:val="00131B4C"/>
    <w:pPr>
      <w:spacing w:after="120"/>
    </w:pPr>
    <w:rPr>
      <w:rFonts w:ascii="Arial" w:eastAsia="Arial Unicode MS" w:hAnsi="Arial" w:cs="Arial"/>
      <w:color w:val="000000"/>
      <w:sz w:val="24"/>
      <w:szCs w:val="22"/>
      <w:lang w:val="en-US" w:eastAsia="en-US"/>
    </w:rPr>
  </w:style>
  <w:style w:type="character" w:customStyle="1" w:styleId="TitleChar">
    <w:name w:val="Title Char"/>
    <w:link w:val="Title"/>
    <w:rsid w:val="00131B4C"/>
    <w:rPr>
      <w:rFonts w:ascii="Arial" w:eastAsia="Arial Unicode MS" w:hAnsi="Arial" w:cs="Arial"/>
      <w:color w:val="000000"/>
      <w:sz w:val="24"/>
      <w:lang w:val="en-US" w:eastAsia="en-US"/>
    </w:rPr>
  </w:style>
  <w:style w:type="paragraph" w:styleId="Footer">
    <w:name w:val="footer"/>
    <w:basedOn w:val="Normal"/>
    <w:link w:val="FooterChar"/>
    <w:rsid w:val="00131B4C"/>
    <w:pPr>
      <w:tabs>
        <w:tab w:val="center" w:pos="4153"/>
        <w:tab w:val="right" w:pos="8306"/>
      </w:tabs>
      <w:spacing w:after="240" w:line="300" w:lineRule="atLeast"/>
      <w:jc w:val="both"/>
    </w:pPr>
    <w:rPr>
      <w:rFonts w:ascii="Times New Roman" w:eastAsia="Times New Roman" w:hAnsi="Times New Roman"/>
      <w:szCs w:val="20"/>
    </w:rPr>
  </w:style>
  <w:style w:type="character" w:customStyle="1" w:styleId="FooterChar">
    <w:name w:val="Footer Char"/>
    <w:link w:val="Footer"/>
    <w:rsid w:val="00131B4C"/>
    <w:rPr>
      <w:rFonts w:ascii="Times New Roman" w:eastAsia="Times New Roman" w:hAnsi="Times New Roman" w:cs="Times New Roman"/>
      <w:color w:val="000000"/>
      <w:szCs w:val="20"/>
      <w:lang w:eastAsia="en-US"/>
    </w:rPr>
  </w:style>
  <w:style w:type="character" w:styleId="Hyperlink">
    <w:name w:val="Hyperlink"/>
    <w:uiPriority w:val="99"/>
    <w:rsid w:val="00131B4C"/>
    <w:rPr>
      <w:rFonts w:ascii="Arial" w:eastAsia="Arial" w:hAnsi="Arial" w:cs="Arial"/>
      <w:i/>
      <w:color w:val="000000"/>
      <w:u w:val="single"/>
    </w:rPr>
  </w:style>
  <w:style w:type="paragraph" w:customStyle="1" w:styleId="Bullet4">
    <w:name w:val="Bullet4"/>
    <w:basedOn w:val="Normal"/>
    <w:rsid w:val="00131B4C"/>
    <w:pPr>
      <w:numPr>
        <w:numId w:val="8"/>
      </w:numPr>
      <w:spacing w:after="240" w:line="240" w:lineRule="auto"/>
      <w:jc w:val="both"/>
    </w:pPr>
    <w:rPr>
      <w:rFonts w:ascii="Times New Roman" w:eastAsia="Times New Roman" w:hAnsi="Times New Roman"/>
      <w:szCs w:val="20"/>
    </w:rPr>
  </w:style>
  <w:style w:type="paragraph" w:customStyle="1" w:styleId="Paragraph">
    <w:name w:val="Paragraph"/>
    <w:basedOn w:val="Normal"/>
    <w:link w:val="ParagraphChar"/>
    <w:qFormat/>
    <w:rsid w:val="00131B4C"/>
    <w:pPr>
      <w:spacing w:after="120" w:line="300" w:lineRule="atLeast"/>
      <w:jc w:val="both"/>
    </w:pPr>
    <w:rPr>
      <w:rFonts w:eastAsia="Arial Unicode MS"/>
      <w:szCs w:val="20"/>
    </w:rPr>
  </w:style>
  <w:style w:type="paragraph" w:customStyle="1" w:styleId="IgnoredTemplateText">
    <w:name w:val="Ignored Template Text"/>
    <w:link w:val="IgnoredTemplateTextChar"/>
    <w:rsid w:val="00131B4C"/>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sid w:val="00131B4C"/>
    <w:rPr>
      <w:rFonts w:ascii="Arial" w:eastAsia="Arial Unicode MS" w:hAnsi="Arial" w:cs="Arial"/>
      <w:b/>
      <w:i/>
      <w:color w:val="000000"/>
      <w:szCs w:val="18"/>
      <w:shd w:val="pct15" w:color="auto" w:fill="FBD4B4"/>
      <w:lang w:val="en-US" w:eastAsia="en-US"/>
    </w:rPr>
  </w:style>
  <w:style w:type="paragraph" w:customStyle="1" w:styleId="InternalTOC">
    <w:name w:val="Internal TOC"/>
    <w:rsid w:val="00131B4C"/>
    <w:pPr>
      <w:spacing w:after="120"/>
    </w:pPr>
    <w:rPr>
      <w:rFonts w:ascii="Arial" w:eastAsia="Arial Unicode MS" w:hAnsi="Arial" w:cs="Arial"/>
      <w:color w:val="000000"/>
      <w:sz w:val="22"/>
      <w:szCs w:val="22"/>
      <w:lang w:val="en-US" w:eastAsia="en-US"/>
    </w:rPr>
  </w:style>
  <w:style w:type="paragraph" w:customStyle="1" w:styleId="HeadingLevel1">
    <w:name w:val="Heading Level 1"/>
    <w:basedOn w:val="Normal"/>
    <w:next w:val="Paragraph"/>
    <w:rsid w:val="00131B4C"/>
    <w:pPr>
      <w:keepNext/>
      <w:spacing w:after="120" w:line="300" w:lineRule="atLeast"/>
      <w:jc w:val="both"/>
      <w:outlineLvl w:val="1"/>
    </w:pPr>
    <w:rPr>
      <w:rFonts w:eastAsia="Arial Unicode MS"/>
      <w:b/>
      <w:sz w:val="36"/>
      <w:szCs w:val="20"/>
    </w:rPr>
  </w:style>
  <w:style w:type="paragraph" w:customStyle="1" w:styleId="HeadingLevel2">
    <w:name w:val="Heading Level 2"/>
    <w:basedOn w:val="Normal"/>
    <w:next w:val="Paragraph"/>
    <w:rsid w:val="00131B4C"/>
    <w:pPr>
      <w:keepNext/>
      <w:spacing w:after="120" w:line="300" w:lineRule="atLeast"/>
      <w:jc w:val="both"/>
      <w:outlineLvl w:val="2"/>
    </w:pPr>
    <w:rPr>
      <w:rFonts w:eastAsia="Arial Unicode MS"/>
      <w:b/>
      <w:sz w:val="28"/>
      <w:szCs w:val="20"/>
    </w:rPr>
  </w:style>
  <w:style w:type="paragraph" w:customStyle="1" w:styleId="HeadingLevel3">
    <w:name w:val="Heading Level 3"/>
    <w:basedOn w:val="Normal"/>
    <w:next w:val="Paragraph"/>
    <w:rsid w:val="00131B4C"/>
    <w:pPr>
      <w:keepNext/>
      <w:spacing w:after="120" w:line="300" w:lineRule="atLeast"/>
      <w:jc w:val="both"/>
      <w:outlineLvl w:val="3"/>
    </w:pPr>
    <w:rPr>
      <w:rFonts w:eastAsia="Arial Unicode MS"/>
      <w:b/>
      <w:i/>
      <w:sz w:val="28"/>
      <w:szCs w:val="20"/>
    </w:rPr>
  </w:style>
  <w:style w:type="paragraph" w:styleId="Header">
    <w:name w:val="header"/>
    <w:basedOn w:val="Normal"/>
    <w:link w:val="HeaderChar"/>
    <w:uiPriority w:val="99"/>
    <w:unhideWhenUsed/>
    <w:rsid w:val="00131B4C"/>
    <w:pPr>
      <w:tabs>
        <w:tab w:val="center" w:pos="4513"/>
        <w:tab w:val="right" w:pos="9026"/>
      </w:tabs>
      <w:spacing w:after="0" w:line="240" w:lineRule="auto"/>
    </w:pPr>
  </w:style>
  <w:style w:type="character" w:customStyle="1" w:styleId="HeaderChar">
    <w:name w:val="Header Char"/>
    <w:link w:val="Header"/>
    <w:uiPriority w:val="99"/>
    <w:rsid w:val="00131B4C"/>
    <w:rPr>
      <w:rFonts w:ascii="Arial" w:eastAsia="Arial" w:hAnsi="Arial" w:cs="Arial"/>
      <w:color w:val="000000"/>
    </w:rPr>
  </w:style>
  <w:style w:type="character" w:styleId="PlaceholderText">
    <w:name w:val="Placeholder Text"/>
    <w:uiPriority w:val="99"/>
    <w:rsid w:val="00131B4C"/>
    <w:rPr>
      <w:rFonts w:ascii="Arial" w:eastAsia="Arial" w:hAnsi="Arial" w:cs="Arial"/>
      <w:color w:val="000000"/>
    </w:rPr>
  </w:style>
  <w:style w:type="paragraph" w:styleId="BalloonText">
    <w:name w:val="Balloon Text"/>
    <w:basedOn w:val="Normal"/>
    <w:link w:val="BalloonTextChar"/>
    <w:uiPriority w:val="99"/>
    <w:semiHidden/>
    <w:unhideWhenUsed/>
    <w:rsid w:val="00131B4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1B4C"/>
    <w:rPr>
      <w:rFonts w:ascii="Tahoma" w:eastAsia="Arial" w:hAnsi="Tahoma" w:cs="Tahoma"/>
      <w:color w:val="000000"/>
      <w:sz w:val="16"/>
      <w:szCs w:val="16"/>
    </w:rPr>
  </w:style>
  <w:style w:type="paragraph" w:customStyle="1" w:styleId="PinPointRef">
    <w:name w:val="PinPoint Ref"/>
    <w:link w:val="PinPointRefChar"/>
    <w:qFormat/>
    <w:rsid w:val="00131B4C"/>
    <w:rPr>
      <w:rFonts w:ascii="Times New Roman" w:hAnsi="Times New Roman"/>
      <w:b/>
      <w:vanish/>
      <w:color w:val="000000"/>
      <w:sz w:val="18"/>
      <w:lang w:eastAsia="en-US"/>
    </w:rPr>
  </w:style>
  <w:style w:type="character" w:customStyle="1" w:styleId="PinPointRefChar">
    <w:name w:val="PinPoint Ref Char"/>
    <w:link w:val="PinPointRef"/>
    <w:rsid w:val="00131B4C"/>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131B4C"/>
    <w:pPr>
      <w:spacing w:before="120"/>
      <w:ind w:left="720"/>
    </w:pPr>
    <w:rPr>
      <w:rFonts w:ascii="Arial" w:eastAsia="Arial Unicode MS" w:hAnsi="Arial" w:cs="Arial"/>
      <w:color w:val="000000"/>
      <w:sz w:val="18"/>
      <w:lang w:eastAsia="en-US"/>
    </w:rPr>
  </w:style>
  <w:style w:type="character" w:customStyle="1" w:styleId="BlockQuoteChar">
    <w:name w:val="Block Quote Char"/>
    <w:link w:val="BlockQuote"/>
    <w:rsid w:val="00131B4C"/>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131B4C"/>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rsid w:val="00131B4C"/>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link w:val="ListParagraphLevel1"/>
    <w:rsid w:val="00131B4C"/>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sid w:val="00131B4C"/>
    <w:rPr>
      <w:rFonts w:ascii="Arial" w:eastAsia="Arial Unicode MS" w:hAnsi="Arial" w:cs="Arial"/>
      <w:color w:val="000000"/>
      <w:szCs w:val="24"/>
      <w:lang w:val="en-US" w:eastAsia="en-US"/>
    </w:rPr>
  </w:style>
  <w:style w:type="paragraph" w:customStyle="1" w:styleId="IntroDefault">
    <w:name w:val="Intro Default"/>
    <w:basedOn w:val="Paragraph"/>
    <w:qFormat/>
    <w:rsid w:val="00131B4C"/>
  </w:style>
  <w:style w:type="paragraph" w:customStyle="1" w:styleId="IntroCustom">
    <w:name w:val="Intro Custom"/>
    <w:basedOn w:val="Paragraph"/>
    <w:qFormat/>
    <w:rsid w:val="00131B4C"/>
  </w:style>
  <w:style w:type="paragraph" w:customStyle="1" w:styleId="PrecedentType">
    <w:name w:val="Precedent Type"/>
    <w:basedOn w:val="IgnoredSpacing"/>
    <w:qFormat/>
    <w:rsid w:val="00131B4C"/>
  </w:style>
  <w:style w:type="paragraph" w:customStyle="1" w:styleId="Operative">
    <w:name w:val="Operative"/>
    <w:basedOn w:val="IgnoredSpacing"/>
    <w:qFormat/>
    <w:rsid w:val="00131B4C"/>
    <w:rPr>
      <w:vanish/>
    </w:rPr>
  </w:style>
  <w:style w:type="paragraph" w:customStyle="1" w:styleId="SpeedreadBulletList1">
    <w:name w:val="Speedread Bullet List 1"/>
    <w:basedOn w:val="BulletList1"/>
    <w:qFormat/>
    <w:rsid w:val="00131B4C"/>
  </w:style>
  <w:style w:type="paragraph" w:customStyle="1" w:styleId="PartiesTitle">
    <w:name w:val="Parties Title"/>
    <w:basedOn w:val="Paragraph"/>
    <w:qFormat/>
    <w:rsid w:val="00131B4C"/>
    <w:rPr>
      <w:b/>
    </w:rPr>
  </w:style>
  <w:style w:type="table" w:styleId="TableGrid">
    <w:name w:val="Table Grid"/>
    <w:basedOn w:val="TableNormal"/>
    <w:rsid w:val="0013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131B4C"/>
    <w:pPr>
      <w:numPr>
        <w:numId w:val="9"/>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1Pattern">
    <w:name w:val="Bullet List 1 + Pattern"/>
    <w:basedOn w:val="BulletList1"/>
    <w:qFormat/>
    <w:rsid w:val="00131B4C"/>
    <w:pPr>
      <w:shd w:val="clear" w:color="auto" w:fill="D9D9D9"/>
      <w:spacing w:after="120" w:line="240" w:lineRule="auto"/>
      <w:ind w:left="714" w:hanging="357"/>
    </w:pPr>
  </w:style>
  <w:style w:type="character" w:customStyle="1" w:styleId="QuestionParagraphChar">
    <w:name w:val="Question Paragraph Char"/>
    <w:link w:val="QuestionParagraph"/>
    <w:rsid w:val="00131B4C"/>
    <w:rPr>
      <w:rFonts w:ascii="Arial" w:eastAsia="Arial Unicode MS" w:hAnsi="Arial" w:cs="Arial"/>
      <w:color w:val="000000"/>
      <w:sz w:val="22"/>
      <w:szCs w:val="22"/>
      <w:shd w:val="clear" w:color="auto" w:fill="D9D9D9"/>
      <w:lang w:val="en-US" w:eastAsia="en-US"/>
    </w:rPr>
  </w:style>
  <w:style w:type="paragraph" w:customStyle="1" w:styleId="BulletList2Pattern">
    <w:name w:val="Bullet List 2 + Pattern"/>
    <w:basedOn w:val="BulletList2"/>
    <w:qFormat/>
    <w:rsid w:val="00131B4C"/>
    <w:pPr>
      <w:shd w:val="clear" w:color="auto" w:fill="D9D9D9"/>
      <w:ind w:left="1077"/>
    </w:pPr>
  </w:style>
  <w:style w:type="paragraph" w:customStyle="1" w:styleId="TestimoniumContract">
    <w:name w:val="Testimonium Contract"/>
    <w:basedOn w:val="Paragraph"/>
    <w:qFormat/>
    <w:rsid w:val="00131B4C"/>
  </w:style>
  <w:style w:type="paragraph" w:customStyle="1" w:styleId="TestimoniumDeed">
    <w:name w:val="Testimonium Deed"/>
    <w:basedOn w:val="Paragraph"/>
    <w:qFormat/>
    <w:rsid w:val="00131B4C"/>
  </w:style>
  <w:style w:type="paragraph" w:customStyle="1" w:styleId="Titlesubclause2">
    <w:name w:val="Title subclause2"/>
    <w:basedOn w:val="Untitledsubclause2"/>
    <w:qFormat/>
    <w:rsid w:val="00131B4C"/>
    <w:rPr>
      <w:b/>
    </w:rPr>
  </w:style>
  <w:style w:type="paragraph" w:customStyle="1" w:styleId="Titlesubclause3">
    <w:name w:val="Title subclause3"/>
    <w:basedOn w:val="Untitledsubclause3"/>
    <w:qFormat/>
    <w:rsid w:val="00131B4C"/>
    <w:rPr>
      <w:b/>
    </w:rPr>
  </w:style>
  <w:style w:type="paragraph" w:customStyle="1" w:styleId="Titlesubclause4">
    <w:name w:val="Title subclause4"/>
    <w:basedOn w:val="Untitledsubclause4"/>
    <w:qFormat/>
    <w:rsid w:val="00131B4C"/>
    <w:rPr>
      <w:b/>
    </w:rPr>
  </w:style>
  <w:style w:type="paragraph" w:customStyle="1" w:styleId="UntitledClause">
    <w:name w:val="Untitled Clause"/>
    <w:basedOn w:val="TitleClause"/>
    <w:qFormat/>
    <w:rsid w:val="00131B4C"/>
    <w:pPr>
      <w:spacing w:before="120"/>
    </w:pPr>
    <w:rPr>
      <w:b w:val="0"/>
    </w:rPr>
  </w:style>
  <w:style w:type="paragraph" w:customStyle="1" w:styleId="Titlesubclause1">
    <w:name w:val="Title subclause1"/>
    <w:basedOn w:val="Untitledsubclause1"/>
    <w:qFormat/>
    <w:rsid w:val="00131B4C"/>
    <w:pPr>
      <w:spacing w:before="120"/>
    </w:pPr>
    <w:rPr>
      <w:b/>
    </w:rPr>
  </w:style>
  <w:style w:type="paragraph" w:customStyle="1" w:styleId="Schedule">
    <w:name w:val="Schedule"/>
    <w:qFormat/>
    <w:rsid w:val="00131B4C"/>
    <w:pPr>
      <w:numPr>
        <w:numId w:val="22"/>
      </w:numPr>
      <w:spacing w:before="240" w:after="240" w:line="240" w:lineRule="atLeast"/>
    </w:pPr>
    <w:rPr>
      <w:rFonts w:ascii="Arial" w:eastAsia="Arial Unicode MS" w:hAnsi="Arial" w:cs="Arial"/>
      <w:b/>
      <w:color w:val="000000"/>
      <w:sz w:val="22"/>
      <w:szCs w:val="22"/>
      <w:lang w:val="en-US" w:eastAsia="en-US"/>
    </w:rPr>
  </w:style>
  <w:style w:type="character" w:customStyle="1" w:styleId="Heading1Char">
    <w:name w:val="Heading 1 Char"/>
    <w:link w:val="Heading1"/>
    <w:uiPriority w:val="9"/>
    <w:rsid w:val="00131B4C"/>
    <w:rPr>
      <w:rFonts w:ascii="Cambria" w:hAnsi="Cambria"/>
      <w:b/>
      <w:bCs/>
      <w:color w:val="000000"/>
      <w:sz w:val="28"/>
      <w:szCs w:val="28"/>
    </w:rPr>
  </w:style>
  <w:style w:type="character" w:customStyle="1" w:styleId="Heading2Char">
    <w:name w:val="Heading 2 Char"/>
    <w:link w:val="Heading2"/>
    <w:uiPriority w:val="9"/>
    <w:rsid w:val="00131B4C"/>
    <w:rPr>
      <w:rFonts w:ascii="Cambria" w:hAnsi="Cambria"/>
      <w:b/>
      <w:bCs/>
      <w:color w:val="000000"/>
      <w:sz w:val="26"/>
      <w:szCs w:val="26"/>
    </w:rPr>
  </w:style>
  <w:style w:type="character" w:customStyle="1" w:styleId="Heading3Char">
    <w:name w:val="Heading 3 Char"/>
    <w:link w:val="Heading3"/>
    <w:uiPriority w:val="9"/>
    <w:rsid w:val="00131B4C"/>
    <w:rPr>
      <w:rFonts w:ascii="Cambria" w:hAnsi="Cambria"/>
      <w:b/>
      <w:bCs/>
      <w:color w:val="000000"/>
      <w:sz w:val="22"/>
      <w:szCs w:val="22"/>
    </w:rPr>
  </w:style>
  <w:style w:type="character" w:customStyle="1" w:styleId="Heading4Char">
    <w:name w:val="Heading 4 Char"/>
    <w:link w:val="Heading4"/>
    <w:uiPriority w:val="9"/>
    <w:rsid w:val="00131B4C"/>
    <w:rPr>
      <w:rFonts w:ascii="Cambria" w:hAnsi="Cambria"/>
      <w:b/>
      <w:bCs/>
      <w:i/>
      <w:iCs/>
      <w:color w:val="000000"/>
      <w:sz w:val="22"/>
      <w:szCs w:val="22"/>
    </w:rPr>
  </w:style>
  <w:style w:type="character" w:customStyle="1" w:styleId="Heading5Char">
    <w:name w:val="Heading 5 Char"/>
    <w:link w:val="Heading5"/>
    <w:uiPriority w:val="9"/>
    <w:rsid w:val="00131B4C"/>
    <w:rPr>
      <w:rFonts w:ascii="Cambria" w:hAnsi="Cambria"/>
      <w:color w:val="000000"/>
      <w:sz w:val="22"/>
      <w:szCs w:val="22"/>
    </w:rPr>
  </w:style>
  <w:style w:type="character" w:customStyle="1" w:styleId="Heading6Char">
    <w:name w:val="Heading 6 Char"/>
    <w:link w:val="Heading6"/>
    <w:uiPriority w:val="9"/>
    <w:rsid w:val="00131B4C"/>
    <w:rPr>
      <w:rFonts w:ascii="Cambria" w:hAnsi="Cambria"/>
      <w:i/>
      <w:iCs/>
      <w:color w:val="000000"/>
      <w:sz w:val="22"/>
      <w:szCs w:val="22"/>
    </w:rPr>
  </w:style>
  <w:style w:type="character" w:customStyle="1" w:styleId="Heading7Char">
    <w:name w:val="Heading 7 Char"/>
    <w:link w:val="Heading7"/>
    <w:uiPriority w:val="9"/>
    <w:rsid w:val="00131B4C"/>
    <w:rPr>
      <w:rFonts w:ascii="Cambria" w:hAnsi="Cambria"/>
      <w:i/>
      <w:iCs/>
      <w:color w:val="000000"/>
      <w:sz w:val="22"/>
      <w:szCs w:val="22"/>
    </w:rPr>
  </w:style>
  <w:style w:type="character" w:customStyle="1" w:styleId="Heading8Char">
    <w:name w:val="Heading 8 Char"/>
    <w:link w:val="Heading8"/>
    <w:uiPriority w:val="9"/>
    <w:rsid w:val="00131B4C"/>
    <w:rPr>
      <w:rFonts w:ascii="Cambria" w:hAnsi="Cambria"/>
      <w:color w:val="000000"/>
    </w:rPr>
  </w:style>
  <w:style w:type="character" w:customStyle="1" w:styleId="Heading9Char">
    <w:name w:val="Heading 9 Char"/>
    <w:link w:val="Heading9"/>
    <w:uiPriority w:val="9"/>
    <w:rsid w:val="00131B4C"/>
    <w:rPr>
      <w:rFonts w:ascii="Cambria" w:hAnsi="Cambria"/>
      <w:i/>
      <w:iCs/>
      <w:color w:val="000000"/>
    </w:rPr>
  </w:style>
  <w:style w:type="paragraph" w:customStyle="1" w:styleId="ScheduleTitle">
    <w:name w:val="Schedule Title"/>
    <w:basedOn w:val="Paragraph"/>
    <w:qFormat/>
    <w:rsid w:val="00131B4C"/>
    <w:rPr>
      <w:b/>
    </w:rPr>
  </w:style>
  <w:style w:type="paragraph" w:customStyle="1" w:styleId="Part">
    <w:name w:val="Part"/>
    <w:basedOn w:val="Paragraph"/>
    <w:qFormat/>
    <w:rsid w:val="00131B4C"/>
    <w:pPr>
      <w:numPr>
        <w:ilvl w:val="1"/>
        <w:numId w:val="22"/>
      </w:numPr>
      <w:spacing w:before="240" w:after="240"/>
      <w:jc w:val="left"/>
    </w:pPr>
    <w:rPr>
      <w:b/>
    </w:rPr>
  </w:style>
  <w:style w:type="paragraph" w:customStyle="1" w:styleId="AnnexTitle">
    <w:name w:val="Annex Title"/>
    <w:basedOn w:val="Paragraph"/>
    <w:next w:val="Paragraph"/>
    <w:qFormat/>
    <w:rsid w:val="00131B4C"/>
    <w:pPr>
      <w:spacing w:before="240" w:after="240"/>
    </w:pPr>
    <w:rPr>
      <w:b/>
    </w:rPr>
  </w:style>
  <w:style w:type="paragraph" w:customStyle="1" w:styleId="PartTitle">
    <w:name w:val="Part Title"/>
    <w:basedOn w:val="Paragraph"/>
    <w:qFormat/>
    <w:rsid w:val="00131B4C"/>
    <w:rPr>
      <w:b/>
    </w:rPr>
  </w:style>
  <w:style w:type="paragraph" w:customStyle="1" w:styleId="Testimonium">
    <w:name w:val="Testimonium"/>
    <w:basedOn w:val="Paragraph"/>
    <w:qFormat/>
    <w:rsid w:val="00131B4C"/>
  </w:style>
  <w:style w:type="character" w:customStyle="1" w:styleId="apple-converted-space">
    <w:name w:val="apple-converted-space"/>
    <w:rsid w:val="00131B4C"/>
    <w:rPr>
      <w:rFonts w:ascii="Arial" w:eastAsia="Arial" w:hAnsi="Arial" w:cs="Arial"/>
      <w:color w:val="000000"/>
    </w:rPr>
  </w:style>
  <w:style w:type="character" w:styleId="Emphasis">
    <w:name w:val="Emphasis"/>
    <w:uiPriority w:val="20"/>
    <w:qFormat/>
    <w:rsid w:val="00131B4C"/>
    <w:rPr>
      <w:rFonts w:ascii="Arial" w:eastAsia="Arial" w:hAnsi="Arial" w:cs="Arial"/>
      <w:i/>
      <w:iCs/>
      <w:color w:val="000000"/>
    </w:rPr>
  </w:style>
  <w:style w:type="paragraph" w:customStyle="1" w:styleId="NoNumTitle-Clause">
    <w:name w:val="No Num Title - Clause"/>
    <w:basedOn w:val="TitleClause"/>
    <w:qFormat/>
    <w:rsid w:val="00131B4C"/>
    <w:pPr>
      <w:numPr>
        <w:numId w:val="0"/>
      </w:numPr>
      <w:ind w:left="720"/>
    </w:pPr>
  </w:style>
  <w:style w:type="paragraph" w:customStyle="1" w:styleId="NoNumTitlesubclause1">
    <w:name w:val="No Num Title subclause1"/>
    <w:basedOn w:val="Titlesubclause1"/>
    <w:qFormat/>
    <w:rsid w:val="00131B4C"/>
    <w:pPr>
      <w:numPr>
        <w:ilvl w:val="0"/>
        <w:numId w:val="0"/>
      </w:numPr>
      <w:ind w:left="720"/>
    </w:pPr>
  </w:style>
  <w:style w:type="paragraph" w:customStyle="1" w:styleId="AddressLine">
    <w:name w:val="Address Line"/>
    <w:basedOn w:val="Paragraph"/>
    <w:qFormat/>
    <w:rsid w:val="00131B4C"/>
  </w:style>
  <w:style w:type="paragraph" w:styleId="Date">
    <w:name w:val="Date"/>
    <w:basedOn w:val="Paragraph"/>
    <w:qFormat/>
    <w:rsid w:val="00131B4C"/>
  </w:style>
  <w:style w:type="paragraph" w:customStyle="1" w:styleId="SalutationPara">
    <w:name w:val="Salutation Para"/>
    <w:basedOn w:val="Paragraph"/>
    <w:next w:val="Paragraph"/>
    <w:qFormat/>
    <w:rsid w:val="00131B4C"/>
    <w:pPr>
      <w:spacing w:before="240"/>
    </w:pPr>
  </w:style>
  <w:style w:type="character" w:styleId="FollowedHyperlink">
    <w:name w:val="FollowedHyperlink"/>
    <w:uiPriority w:val="99"/>
    <w:semiHidden/>
    <w:unhideWhenUsed/>
    <w:rsid w:val="00131B4C"/>
    <w:rPr>
      <w:rFonts w:ascii="Arial" w:eastAsia="Arial" w:hAnsi="Arial" w:cs="Arial"/>
      <w:i/>
      <w:color w:val="000000"/>
      <w:u w:val="single"/>
    </w:rPr>
  </w:style>
  <w:style w:type="character" w:customStyle="1" w:styleId="DefTerm">
    <w:name w:val="DefTerm"/>
    <w:uiPriority w:val="1"/>
    <w:qFormat/>
    <w:rsid w:val="00131B4C"/>
    <w:rPr>
      <w:rFonts w:ascii="Arial" w:eastAsia="Arial" w:hAnsi="Arial" w:cs="Arial"/>
      <w:b/>
      <w:color w:val="000000"/>
    </w:rPr>
  </w:style>
  <w:style w:type="table" w:customStyle="1" w:styleId="ShadedTable">
    <w:name w:val="Shaded Table"/>
    <w:basedOn w:val="TableNormal"/>
    <w:uiPriority w:val="99"/>
    <w:rsid w:val="00131B4C"/>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131B4C"/>
    <w:rPr>
      <w:i/>
    </w:rPr>
  </w:style>
  <w:style w:type="paragraph" w:customStyle="1" w:styleId="LetterTitle">
    <w:name w:val="Letter Title"/>
    <w:basedOn w:val="Paragraph"/>
    <w:qFormat/>
    <w:rsid w:val="00131B4C"/>
    <w:rPr>
      <w:b/>
    </w:rPr>
  </w:style>
  <w:style w:type="paragraph" w:customStyle="1" w:styleId="LongQuestionPara">
    <w:name w:val="Long Question Para"/>
    <w:basedOn w:val="Paragraph"/>
    <w:link w:val="LongQuestionParaChar"/>
    <w:rsid w:val="00131B4C"/>
    <w:pPr>
      <w:numPr>
        <w:numId w:val="12"/>
      </w:numPr>
      <w:spacing w:before="240" w:after="240" w:line="240" w:lineRule="auto"/>
      <w:outlineLvl w:val="1"/>
    </w:pPr>
    <w:rPr>
      <w:sz w:val="20"/>
      <w:lang w:val="en-US"/>
    </w:rPr>
  </w:style>
  <w:style w:type="character" w:customStyle="1" w:styleId="LongQuestionParaChar">
    <w:name w:val="Long Question Para Char"/>
    <w:link w:val="LongQuestionPara"/>
    <w:rsid w:val="00131B4C"/>
    <w:rPr>
      <w:rFonts w:ascii="Arial" w:eastAsia="Arial Unicode MS" w:hAnsi="Arial" w:cs="Arial"/>
      <w:color w:val="000000"/>
      <w:lang w:val="en-US" w:eastAsia="en-US"/>
    </w:rPr>
  </w:style>
  <w:style w:type="paragraph" w:customStyle="1" w:styleId="ShortQuestionPara">
    <w:name w:val="Short Question Para"/>
    <w:basedOn w:val="Paragraph"/>
    <w:link w:val="ShortQuestionParaChar"/>
    <w:rsid w:val="00131B4C"/>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131B4C"/>
    <w:rPr>
      <w:rFonts w:ascii="Arial" w:eastAsia="Arial Unicode MS" w:hAnsi="Arial" w:cs="Arial"/>
      <w:bCs/>
      <w:color w:val="000000"/>
      <w:sz w:val="20"/>
      <w:szCs w:val="20"/>
      <w:shd w:val="clear" w:color="auto" w:fill="D9D9D9"/>
      <w:lang w:val="en-US" w:eastAsia="en-US"/>
    </w:rPr>
  </w:style>
  <w:style w:type="character" w:customStyle="1" w:styleId="ParagraphChar">
    <w:name w:val="Paragraph Char"/>
    <w:link w:val="Paragraph"/>
    <w:rsid w:val="00131B4C"/>
    <w:rPr>
      <w:rFonts w:ascii="Arial" w:eastAsia="Arial Unicode MS" w:hAnsi="Arial" w:cs="Arial"/>
      <w:color w:val="000000"/>
      <w:szCs w:val="20"/>
      <w:lang w:eastAsia="en-US"/>
    </w:rPr>
  </w:style>
  <w:style w:type="paragraph" w:customStyle="1" w:styleId="811D3A974D454A258B71E3C4DE24C4F210">
    <w:name w:val="811D3A974D454A258B71E3C4DE24C4F210"/>
    <w:rsid w:val="00131B4C"/>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rsid w:val="00131B4C"/>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131B4C"/>
    <w:pPr>
      <w:jc w:val="center"/>
    </w:pPr>
    <w:rPr>
      <w:sz w:val="28"/>
    </w:rPr>
  </w:style>
  <w:style w:type="paragraph" w:customStyle="1" w:styleId="Title-Clause">
    <w:name w:val="Title - Clause"/>
    <w:aliases w:val="BIWS Heading 1"/>
    <w:basedOn w:val="Normal"/>
    <w:rsid w:val="00131B4C"/>
    <w:pPr>
      <w:keepNext/>
      <w:tabs>
        <w:tab w:val="num" w:pos="720"/>
      </w:tabs>
      <w:spacing w:before="240" w:after="240" w:line="300" w:lineRule="atLeast"/>
      <w:ind w:left="720" w:hanging="720"/>
      <w:jc w:val="both"/>
      <w:outlineLvl w:val="0"/>
    </w:pPr>
    <w:rPr>
      <w:rFonts w:eastAsia="Arial Unicode MS"/>
      <w:b/>
      <w:kern w:val="28"/>
      <w:szCs w:val="20"/>
    </w:rPr>
  </w:style>
  <w:style w:type="paragraph" w:customStyle="1" w:styleId="Para-Clause-nonum">
    <w:name w:val="Para - Clause - no num"/>
    <w:aliases w:val="Body  clause"/>
    <w:basedOn w:val="Normal"/>
    <w:next w:val="Title-Clause"/>
    <w:rsid w:val="00131B4C"/>
    <w:pPr>
      <w:spacing w:before="120" w:after="120" w:line="300" w:lineRule="atLeast"/>
      <w:ind w:left="720"/>
      <w:jc w:val="both"/>
    </w:pPr>
    <w:rPr>
      <w:rFonts w:eastAsia="Arial Unicode MS"/>
      <w:szCs w:val="20"/>
    </w:rPr>
  </w:style>
  <w:style w:type="paragraph" w:customStyle="1" w:styleId="Para-Clause">
    <w:name w:val="Para - Clause"/>
    <w:basedOn w:val="Title-Clause"/>
    <w:qFormat/>
    <w:rsid w:val="00131B4C"/>
    <w:pPr>
      <w:spacing w:before="120"/>
    </w:pPr>
    <w:rPr>
      <w:b w:val="0"/>
    </w:rPr>
  </w:style>
  <w:style w:type="paragraph" w:customStyle="1" w:styleId="CoversheetParagraph">
    <w:name w:val="Coversheet Paragraph"/>
    <w:basedOn w:val="Normal"/>
    <w:autoRedefine/>
    <w:rsid w:val="00131B4C"/>
    <w:pPr>
      <w:spacing w:after="0" w:line="300" w:lineRule="atLeast"/>
      <w:jc w:val="center"/>
    </w:pPr>
    <w:rPr>
      <w:rFonts w:ascii="Times New Roman" w:eastAsia="Times New Roman" w:hAnsi="Times New Roman"/>
      <w:szCs w:val="20"/>
    </w:rPr>
  </w:style>
  <w:style w:type="paragraph" w:customStyle="1" w:styleId="CoversheetIntro">
    <w:name w:val="Coversheet Intro"/>
    <w:basedOn w:val="CoversheetTitle"/>
    <w:qFormat/>
    <w:rsid w:val="00131B4C"/>
    <w:rPr>
      <w:smallCaps w:val="0"/>
      <w:sz w:val="22"/>
    </w:rPr>
  </w:style>
  <w:style w:type="paragraph" w:customStyle="1" w:styleId="CoversheetStaticText">
    <w:name w:val="Coversheet Static Text"/>
    <w:basedOn w:val="CoversheetIntro"/>
    <w:qFormat/>
    <w:rsid w:val="00131B4C"/>
    <w:rPr>
      <w:b w:val="0"/>
    </w:rPr>
  </w:style>
  <w:style w:type="paragraph" w:customStyle="1" w:styleId="CoversheetParty">
    <w:name w:val="Coversheet Party"/>
    <w:basedOn w:val="CoversheetIntro"/>
    <w:qFormat/>
    <w:rsid w:val="00131B4C"/>
  </w:style>
  <w:style w:type="paragraph" w:customStyle="1" w:styleId="NoNumUntitledClause">
    <w:name w:val="No Num Untitled Clause"/>
    <w:basedOn w:val="UntitledClause"/>
    <w:qFormat/>
    <w:rsid w:val="00131B4C"/>
    <w:pPr>
      <w:numPr>
        <w:numId w:val="0"/>
      </w:numPr>
      <w:ind w:left="720"/>
    </w:pPr>
  </w:style>
  <w:style w:type="paragraph" w:customStyle="1" w:styleId="BackgroundSubclause1">
    <w:name w:val="Background Subclause1"/>
    <w:basedOn w:val="Background"/>
    <w:qFormat/>
    <w:rsid w:val="00131B4C"/>
    <w:pPr>
      <w:numPr>
        <w:ilvl w:val="1"/>
      </w:numPr>
    </w:pPr>
  </w:style>
  <w:style w:type="paragraph" w:customStyle="1" w:styleId="BackgroundSubclause2">
    <w:name w:val="Background Subclause2"/>
    <w:basedOn w:val="Background"/>
    <w:qFormat/>
    <w:rsid w:val="00131B4C"/>
    <w:pPr>
      <w:numPr>
        <w:ilvl w:val="3"/>
      </w:numPr>
    </w:pPr>
  </w:style>
  <w:style w:type="paragraph" w:customStyle="1" w:styleId="HeadingLevel2CQA">
    <w:name w:val="Heading Level 2 CQA"/>
    <w:basedOn w:val="HeadingLevel2"/>
    <w:qFormat/>
    <w:rsid w:val="00131B4C"/>
  </w:style>
  <w:style w:type="paragraph" w:customStyle="1" w:styleId="ClauseBullet1">
    <w:name w:val="Clause Bullet 1"/>
    <w:basedOn w:val="ParaClause"/>
    <w:qFormat/>
    <w:rsid w:val="00131B4C"/>
    <w:pPr>
      <w:numPr>
        <w:numId w:val="13"/>
      </w:numPr>
      <w:ind w:left="1077" w:hanging="357"/>
      <w:outlineLvl w:val="0"/>
    </w:pPr>
  </w:style>
  <w:style w:type="paragraph" w:customStyle="1" w:styleId="ClauseBullet2">
    <w:name w:val="Clause Bullet 2"/>
    <w:basedOn w:val="ParaClause"/>
    <w:qFormat/>
    <w:rsid w:val="00131B4C"/>
    <w:pPr>
      <w:numPr>
        <w:numId w:val="14"/>
      </w:numPr>
      <w:ind w:left="1434" w:hanging="357"/>
      <w:outlineLvl w:val="1"/>
    </w:pPr>
  </w:style>
  <w:style w:type="paragraph" w:customStyle="1" w:styleId="subclause1Bullet1">
    <w:name w:val="subclause 1 Bullet 1"/>
    <w:basedOn w:val="Parasubclause1"/>
    <w:qFormat/>
    <w:rsid w:val="00131B4C"/>
    <w:pPr>
      <w:numPr>
        <w:numId w:val="15"/>
      </w:numPr>
      <w:ind w:left="1077" w:hanging="357"/>
    </w:pPr>
  </w:style>
  <w:style w:type="paragraph" w:customStyle="1" w:styleId="subclause2Bullet1">
    <w:name w:val="subclause 2 Bullet 1"/>
    <w:basedOn w:val="Parasubclause2"/>
    <w:qFormat/>
    <w:rsid w:val="00131B4C"/>
    <w:pPr>
      <w:numPr>
        <w:numId w:val="17"/>
      </w:numPr>
      <w:ind w:left="1434" w:hanging="357"/>
    </w:pPr>
  </w:style>
  <w:style w:type="paragraph" w:customStyle="1" w:styleId="subclause3Bullet1">
    <w:name w:val="subclause 3 Bullet 1"/>
    <w:basedOn w:val="Parasubclause3"/>
    <w:qFormat/>
    <w:rsid w:val="00131B4C"/>
    <w:pPr>
      <w:numPr>
        <w:numId w:val="16"/>
      </w:numPr>
      <w:ind w:left="2273" w:hanging="357"/>
    </w:pPr>
  </w:style>
  <w:style w:type="paragraph" w:customStyle="1" w:styleId="subclause1Bullet2">
    <w:name w:val="subclause 1 Bullet 2"/>
    <w:basedOn w:val="Parasubclause1"/>
    <w:qFormat/>
    <w:rsid w:val="00131B4C"/>
    <w:pPr>
      <w:numPr>
        <w:numId w:val="18"/>
      </w:numPr>
      <w:ind w:left="1434" w:hanging="357"/>
    </w:pPr>
  </w:style>
  <w:style w:type="paragraph" w:customStyle="1" w:styleId="subclause2Bullet2">
    <w:name w:val="subclause 2 Bullet 2"/>
    <w:basedOn w:val="Parasubclause2"/>
    <w:qFormat/>
    <w:rsid w:val="00131B4C"/>
    <w:pPr>
      <w:numPr>
        <w:numId w:val="19"/>
      </w:numPr>
      <w:ind w:left="2273" w:hanging="357"/>
    </w:pPr>
  </w:style>
  <w:style w:type="paragraph" w:customStyle="1" w:styleId="subclause3Bullet2">
    <w:name w:val="subclause 3 Bullet 2"/>
    <w:basedOn w:val="Parasubclause3"/>
    <w:qFormat/>
    <w:rsid w:val="00131B4C"/>
    <w:pPr>
      <w:numPr>
        <w:numId w:val="20"/>
      </w:numPr>
      <w:ind w:left="2982" w:hanging="357"/>
    </w:pPr>
  </w:style>
  <w:style w:type="paragraph" w:customStyle="1" w:styleId="DefinedTermBullet">
    <w:name w:val="Defined Term Bullet"/>
    <w:basedOn w:val="DefinedTermPara"/>
    <w:qFormat/>
    <w:rsid w:val="00131B4C"/>
    <w:pPr>
      <w:numPr>
        <w:numId w:val="21"/>
      </w:numPr>
    </w:pPr>
  </w:style>
  <w:style w:type="paragraph" w:customStyle="1" w:styleId="DefinedTermNumber">
    <w:name w:val="Defined Term Number"/>
    <w:basedOn w:val="DefinedTermPara"/>
    <w:qFormat/>
    <w:rsid w:val="00131B4C"/>
    <w:pPr>
      <w:numPr>
        <w:ilvl w:val="1"/>
      </w:numPr>
    </w:pPr>
  </w:style>
  <w:style w:type="paragraph" w:customStyle="1" w:styleId="AdditionalTitle">
    <w:name w:val="Additional Title"/>
    <w:basedOn w:val="Paragraph"/>
    <w:qFormat/>
    <w:rsid w:val="00131B4C"/>
    <w:pPr>
      <w:jc w:val="left"/>
    </w:pPr>
    <w:rPr>
      <w:b/>
      <w:sz w:val="24"/>
    </w:rPr>
  </w:style>
  <w:style w:type="character" w:customStyle="1" w:styleId="error">
    <w:name w:val="error"/>
    <w:rsid w:val="00131B4C"/>
    <w:rPr>
      <w:rFonts w:ascii="Arial" w:eastAsia="Arial" w:hAnsi="Arial" w:cs="Arial"/>
      <w:color w:val="000000"/>
    </w:rPr>
  </w:style>
  <w:style w:type="paragraph" w:customStyle="1" w:styleId="NoNumUntitledsubclause1">
    <w:name w:val="No Num Untitled subclause 1"/>
    <w:basedOn w:val="Untitledsubclause1"/>
    <w:qFormat/>
    <w:rsid w:val="00131B4C"/>
    <w:pPr>
      <w:numPr>
        <w:ilvl w:val="0"/>
        <w:numId w:val="0"/>
      </w:numPr>
      <w:ind w:left="720"/>
    </w:pPr>
  </w:style>
  <w:style w:type="paragraph" w:customStyle="1" w:styleId="BackgroundParaClause">
    <w:name w:val="Background Para Clause"/>
    <w:basedOn w:val="Background"/>
    <w:qFormat/>
    <w:rsid w:val="00131B4C"/>
    <w:pPr>
      <w:numPr>
        <w:numId w:val="0"/>
      </w:numPr>
    </w:pPr>
  </w:style>
  <w:style w:type="paragraph" w:customStyle="1" w:styleId="BackgroundParaSubclause1">
    <w:name w:val="Background Para Subclause1"/>
    <w:basedOn w:val="BackgroundSubclause1"/>
    <w:qFormat/>
    <w:rsid w:val="00131B4C"/>
    <w:pPr>
      <w:numPr>
        <w:ilvl w:val="0"/>
        <w:numId w:val="0"/>
      </w:numPr>
      <w:ind w:left="994"/>
    </w:pPr>
    <w:rPr>
      <w:lang w:val="en-US"/>
    </w:rPr>
  </w:style>
  <w:style w:type="paragraph" w:customStyle="1" w:styleId="BackgroundParaSubclause2">
    <w:name w:val="Background Para Subclause2"/>
    <w:basedOn w:val="BackgroundSubclause2"/>
    <w:qFormat/>
    <w:rsid w:val="00131B4C"/>
    <w:pPr>
      <w:numPr>
        <w:ilvl w:val="0"/>
        <w:numId w:val="0"/>
      </w:numPr>
      <w:ind w:left="1701"/>
    </w:pPr>
    <w:rPr>
      <w:lang w:val="en-US"/>
    </w:rPr>
  </w:style>
  <w:style w:type="paragraph" w:customStyle="1" w:styleId="ClauseBulletPara">
    <w:name w:val="Clause Bullet Para"/>
    <w:basedOn w:val="ClauseBullet1"/>
    <w:qFormat/>
    <w:rsid w:val="00131B4C"/>
    <w:pPr>
      <w:numPr>
        <w:numId w:val="0"/>
      </w:numPr>
      <w:ind w:left="1080"/>
    </w:pPr>
    <w:rPr>
      <w:lang w:val="en-US"/>
    </w:rPr>
  </w:style>
  <w:style w:type="paragraph" w:customStyle="1" w:styleId="ClauseBullet2Para">
    <w:name w:val="Clause Bullet 2 Para"/>
    <w:basedOn w:val="ClauseBullet2"/>
    <w:qFormat/>
    <w:rsid w:val="00131B4C"/>
    <w:pPr>
      <w:numPr>
        <w:numId w:val="0"/>
      </w:numPr>
      <w:ind w:left="1440"/>
    </w:pPr>
    <w:rPr>
      <w:lang w:val="en-US"/>
    </w:rPr>
  </w:style>
  <w:style w:type="paragraph" w:customStyle="1" w:styleId="ACTJurisdictionCheckList">
    <w:name w:val="ACTJurisdictionCheckList"/>
    <w:basedOn w:val="Normal"/>
    <w:rsid w:val="00131B4C"/>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131B4C"/>
  </w:style>
  <w:style w:type="paragraph" w:customStyle="1" w:styleId="ScheduleTitleClause">
    <w:name w:val="Schedule Title Clause"/>
    <w:basedOn w:val="Normal"/>
    <w:rsid w:val="00131B4C"/>
    <w:pPr>
      <w:keepNext/>
      <w:numPr>
        <w:ilvl w:val="2"/>
        <w:numId w:val="22"/>
      </w:numPr>
      <w:spacing w:before="240" w:after="240" w:line="300" w:lineRule="atLeast"/>
      <w:jc w:val="both"/>
      <w:outlineLvl w:val="0"/>
    </w:pPr>
    <w:rPr>
      <w:rFonts w:eastAsia="Arial Unicode MS"/>
      <w:b/>
      <w:kern w:val="28"/>
      <w:szCs w:val="20"/>
    </w:rPr>
  </w:style>
  <w:style w:type="paragraph" w:customStyle="1" w:styleId="ScheduleUntitledsubclause1">
    <w:name w:val="Schedule Untitled subclause 1"/>
    <w:basedOn w:val="Normal"/>
    <w:rsid w:val="00131B4C"/>
    <w:pPr>
      <w:numPr>
        <w:ilvl w:val="3"/>
        <w:numId w:val="22"/>
      </w:numPr>
      <w:spacing w:before="280" w:after="120" w:line="300" w:lineRule="atLeast"/>
      <w:jc w:val="both"/>
      <w:outlineLvl w:val="1"/>
    </w:pPr>
    <w:rPr>
      <w:rFonts w:eastAsia="Arial Unicode MS"/>
      <w:szCs w:val="20"/>
    </w:rPr>
  </w:style>
  <w:style w:type="paragraph" w:customStyle="1" w:styleId="ScheduleUntitledsubclause2">
    <w:name w:val="Schedule Untitled subclause 2"/>
    <w:basedOn w:val="Normal"/>
    <w:rsid w:val="00131B4C"/>
    <w:pPr>
      <w:numPr>
        <w:ilvl w:val="4"/>
        <w:numId w:val="22"/>
      </w:numPr>
      <w:spacing w:after="120" w:line="300" w:lineRule="atLeast"/>
      <w:jc w:val="both"/>
      <w:outlineLvl w:val="2"/>
    </w:pPr>
    <w:rPr>
      <w:rFonts w:eastAsia="Arial Unicode MS"/>
      <w:szCs w:val="20"/>
    </w:rPr>
  </w:style>
  <w:style w:type="paragraph" w:customStyle="1" w:styleId="ScheduleUntitledsubclause3">
    <w:name w:val="Schedule Untitled subclause 3"/>
    <w:basedOn w:val="Normal"/>
    <w:rsid w:val="00131B4C"/>
    <w:pPr>
      <w:numPr>
        <w:ilvl w:val="5"/>
        <w:numId w:val="22"/>
      </w:numPr>
      <w:tabs>
        <w:tab w:val="left" w:pos="2261"/>
      </w:tabs>
      <w:spacing w:after="120" w:line="300" w:lineRule="atLeast"/>
      <w:jc w:val="both"/>
      <w:outlineLvl w:val="3"/>
    </w:pPr>
    <w:rPr>
      <w:rFonts w:eastAsia="Arial Unicode MS"/>
      <w:szCs w:val="20"/>
    </w:rPr>
  </w:style>
  <w:style w:type="paragraph" w:customStyle="1" w:styleId="ScheduleUntitledsubclause4">
    <w:name w:val="Schedule Untitled subclause 4"/>
    <w:basedOn w:val="Normal"/>
    <w:rsid w:val="00131B4C"/>
    <w:pPr>
      <w:spacing w:after="120" w:line="300" w:lineRule="atLeast"/>
      <w:jc w:val="both"/>
      <w:outlineLvl w:val="4"/>
    </w:pPr>
    <w:rPr>
      <w:rFonts w:eastAsia="Arial Unicode MS"/>
      <w:szCs w:val="20"/>
    </w:rPr>
  </w:style>
  <w:style w:type="paragraph" w:customStyle="1" w:styleId="BulletListPattern1">
    <w:name w:val="Bullet List Pattern 1"/>
    <w:basedOn w:val="BulletList1"/>
    <w:qFormat/>
    <w:rsid w:val="00131B4C"/>
    <w:pPr>
      <w:shd w:val="clear" w:color="auto" w:fill="D9D9D9"/>
      <w:spacing w:after="120" w:line="240" w:lineRule="auto"/>
      <w:ind w:left="714" w:hanging="357"/>
    </w:pPr>
  </w:style>
  <w:style w:type="paragraph" w:customStyle="1" w:styleId="BulletListPattern2">
    <w:name w:val="Bullet List Pattern 2"/>
    <w:basedOn w:val="BulletList2"/>
    <w:qFormat/>
    <w:rsid w:val="00131B4C"/>
    <w:pPr>
      <w:shd w:val="clear" w:color="auto" w:fill="D9D9D9"/>
      <w:ind w:left="1077"/>
    </w:pPr>
  </w:style>
  <w:style w:type="paragraph" w:customStyle="1" w:styleId="ScheduleUntitledClause">
    <w:name w:val="Schedule Untitled Clause"/>
    <w:basedOn w:val="ScheduleTitleClause"/>
    <w:qFormat/>
    <w:rsid w:val="00131B4C"/>
    <w:pPr>
      <w:spacing w:before="120"/>
    </w:pPr>
    <w:rPr>
      <w:b w:val="0"/>
    </w:rPr>
  </w:style>
  <w:style w:type="paragraph" w:customStyle="1" w:styleId="EmptyClausePara">
    <w:name w:val="Empty Clause Para"/>
    <w:basedOn w:val="IgnoredSpacing"/>
    <w:qFormat/>
    <w:rsid w:val="00131B4C"/>
  </w:style>
  <w:style w:type="paragraph" w:styleId="ListParagraph">
    <w:name w:val="List Paragraph"/>
    <w:basedOn w:val="Normal"/>
    <w:uiPriority w:val="34"/>
    <w:qFormat/>
    <w:rsid w:val="00131B4C"/>
    <w:pPr>
      <w:ind w:left="720"/>
      <w:contextualSpacing/>
    </w:pPr>
  </w:style>
  <w:style w:type="paragraph" w:customStyle="1" w:styleId="ScheduleTitlesubclause1">
    <w:name w:val="Schedule Title subclause1"/>
    <w:basedOn w:val="ScheduleUntitledsubclause1"/>
    <w:qFormat/>
    <w:rsid w:val="00131B4C"/>
    <w:pPr>
      <w:spacing w:before="120"/>
    </w:pPr>
    <w:rPr>
      <w:b/>
    </w:rPr>
  </w:style>
  <w:style w:type="paragraph" w:customStyle="1" w:styleId="835FF0B0D5344FE4A8EE41F54AA7E17C16">
    <w:name w:val="835FF0B0D5344FE4A8EE41F54AA7E17C16"/>
    <w:rsid w:val="00F3334F"/>
    <w:pPr>
      <w:spacing w:after="120"/>
    </w:pPr>
    <w:rPr>
      <w:rFonts w:ascii="Arial" w:hAnsi="Arial"/>
      <w:color w:val="000000"/>
      <w:sz w:val="24"/>
      <w:szCs w:val="24"/>
      <w:lang w:val="en-US" w:eastAsia="en-US"/>
    </w:rPr>
  </w:style>
  <w:style w:type="character" w:styleId="UnresolvedMention">
    <w:name w:val="Unresolved Mention"/>
    <w:uiPriority w:val="99"/>
    <w:semiHidden/>
    <w:unhideWhenUsed/>
    <w:rsid w:val="00F716A9"/>
    <w:rPr>
      <w:rFonts w:ascii="Arial" w:eastAsia="Arial" w:hAnsi="Arial" w:cs="Arial"/>
      <w:color w:val="000000"/>
      <w:shd w:val="clear" w:color="auto" w:fill="E6E6E6"/>
    </w:rPr>
  </w:style>
  <w:style w:type="paragraph" w:customStyle="1" w:styleId="Body">
    <w:name w:val="Body"/>
    <w:rsid w:val="001E2A44"/>
    <w:pPr>
      <w:spacing w:line="240" w:lineRule="atLeast"/>
      <w:jc w:val="both"/>
    </w:pPr>
    <w:rPr>
      <w:rFonts w:ascii="Arial" w:eastAsia="Arial" w:hAnsi="Arial" w:cs="Arial"/>
      <w:color w:val="000000"/>
      <w:sz w:val="21"/>
      <w:szCs w:val="21"/>
      <w:u w:color="000000"/>
    </w:rPr>
  </w:style>
  <w:style w:type="paragraph" w:customStyle="1" w:styleId="BodyText1">
    <w:name w:val="Body Text 1"/>
    <w:rsid w:val="00303446"/>
    <w:pPr>
      <w:spacing w:after="240" w:line="240" w:lineRule="atLeast"/>
      <w:ind w:left="720"/>
      <w:jc w:val="both"/>
    </w:pPr>
    <w:rPr>
      <w:rFonts w:ascii="Arial" w:eastAsia="Arial Unicode MS" w:hAnsi="Arial" w:cs="Arial Unicode MS"/>
      <w:color w:val="000000"/>
      <w:sz w:val="21"/>
      <w:szCs w:val="21"/>
      <w:u w:color="000000"/>
      <w:lang w:val="en-US"/>
    </w:rPr>
  </w:style>
  <w:style w:type="character" w:customStyle="1" w:styleId="Hyperlink1">
    <w:name w:val="Hyperlink.1"/>
    <w:rsid w:val="00303446"/>
    <w:rPr>
      <w:rFonts w:ascii="Arial" w:eastAsia="Arial" w:hAnsi="Arial" w:cs="Arial"/>
      <w:i/>
      <w:iCs/>
      <w:color w:val="000000"/>
      <w:sz w:val="21"/>
      <w:u w:val="single" w:color="0000FF"/>
      <w:shd w:val="clear" w:color="auto" w:fill="auto"/>
    </w:rPr>
  </w:style>
  <w:style w:type="character" w:customStyle="1" w:styleId="Hyperlink2">
    <w:name w:val="Hyperlink.2"/>
    <w:rsid w:val="00303446"/>
    <w:rPr>
      <w:rFonts w:ascii="Arial" w:eastAsia="Arial" w:hAnsi="Arial" w:cs="Arial"/>
      <w:color w:val="000000"/>
      <w:lang w:val="en-US"/>
    </w:rPr>
  </w:style>
  <w:style w:type="paragraph" w:customStyle="1" w:styleId="ScheduleSubHeading">
    <w:name w:val="Schedule Sub Heading"/>
    <w:next w:val="BodyText"/>
    <w:rsid w:val="00303446"/>
    <w:pPr>
      <w:keepNext/>
      <w:spacing w:after="480" w:line="240" w:lineRule="atLeast"/>
      <w:jc w:val="center"/>
    </w:pPr>
    <w:rPr>
      <w:rFonts w:ascii="Arial" w:eastAsia="Arial Unicode MS" w:hAnsi="Arial" w:cs="Arial Unicode MS"/>
      <w:b/>
      <w:bCs/>
      <w:color w:val="000000"/>
      <w:sz w:val="21"/>
      <w:szCs w:val="21"/>
      <w:u w:color="000000"/>
      <w:lang w:val="en-US"/>
    </w:rPr>
  </w:style>
  <w:style w:type="numbering" w:customStyle="1" w:styleId="ImportedStyle6">
    <w:name w:val="Imported Style 6"/>
    <w:rsid w:val="00303446"/>
    <w:pPr>
      <w:numPr>
        <w:numId w:val="25"/>
      </w:numPr>
    </w:pPr>
  </w:style>
  <w:style w:type="paragraph" w:styleId="BodyText">
    <w:name w:val="Body Text"/>
    <w:basedOn w:val="Normal"/>
    <w:link w:val="BodyTextChar"/>
    <w:uiPriority w:val="99"/>
    <w:semiHidden/>
    <w:unhideWhenUsed/>
    <w:rsid w:val="00303446"/>
    <w:pPr>
      <w:spacing w:after="120"/>
    </w:pPr>
  </w:style>
  <w:style w:type="character" w:customStyle="1" w:styleId="BodyTextChar">
    <w:name w:val="Body Text Char"/>
    <w:link w:val="BodyText"/>
    <w:uiPriority w:val="99"/>
    <w:semiHidden/>
    <w:rsid w:val="00303446"/>
    <w:rPr>
      <w:rFonts w:ascii="Arial" w:eastAsia="Arial" w:hAnsi="Arial" w:cs="Arial"/>
      <w:color w:val="000000"/>
    </w:rPr>
  </w:style>
  <w:style w:type="character" w:customStyle="1" w:styleId="Red">
    <w:name w:val="Red"/>
    <w:rsid w:val="00C719D4"/>
    <w:rPr>
      <w:color w:val="000000"/>
      <w:lang w:val="en-US"/>
    </w:rPr>
  </w:style>
  <w:style w:type="paragraph" w:customStyle="1" w:styleId="SchHeading2">
    <w:name w:val="SchHeading 2"/>
    <w:next w:val="BodyText2"/>
    <w:rsid w:val="00C719D4"/>
    <w:pPr>
      <w:tabs>
        <w:tab w:val="left" w:pos="720"/>
      </w:tabs>
      <w:spacing w:after="240" w:line="240" w:lineRule="atLeast"/>
      <w:ind w:left="720" w:hanging="720"/>
      <w:jc w:val="both"/>
      <w:outlineLvl w:val="2"/>
    </w:pPr>
    <w:rPr>
      <w:rFonts w:ascii="Arial" w:eastAsia="Arial Unicode MS" w:hAnsi="Arial" w:cs="Arial Unicode MS"/>
      <w:color w:val="000000"/>
      <w:sz w:val="21"/>
      <w:szCs w:val="21"/>
      <w:u w:color="000000"/>
      <w:lang w:val="en-US"/>
    </w:rPr>
  </w:style>
  <w:style w:type="paragraph" w:styleId="BodyText2">
    <w:name w:val="Body Text 2"/>
    <w:basedOn w:val="Normal"/>
    <w:link w:val="BodyText2Char"/>
    <w:uiPriority w:val="99"/>
    <w:semiHidden/>
    <w:unhideWhenUsed/>
    <w:rsid w:val="00C719D4"/>
    <w:pPr>
      <w:spacing w:after="120" w:line="480" w:lineRule="auto"/>
    </w:pPr>
  </w:style>
  <w:style w:type="character" w:customStyle="1" w:styleId="BodyText2Char">
    <w:name w:val="Body Text 2 Char"/>
    <w:link w:val="BodyText2"/>
    <w:uiPriority w:val="99"/>
    <w:semiHidden/>
    <w:rsid w:val="00C719D4"/>
    <w:rPr>
      <w:rFonts w:ascii="Arial" w:eastAsia="Arial" w:hAnsi="Arial" w:cs="Arial"/>
      <w:color w:val="000000"/>
    </w:rPr>
  </w:style>
  <w:style w:type="paragraph" w:customStyle="1" w:styleId="SectorSpecificNoteTitle">
    <w:name w:val="Sector Specific Note Title"/>
    <w:basedOn w:val="JurisdictionDraftingnoteTitle"/>
    <w:qFormat/>
    <w:rsid w:val="00131B4C"/>
  </w:style>
  <w:style w:type="character" w:styleId="CommentReference">
    <w:name w:val="annotation reference"/>
    <w:uiPriority w:val="99"/>
    <w:semiHidden/>
    <w:unhideWhenUsed/>
    <w:rsid w:val="00E82EF7"/>
    <w:rPr>
      <w:rFonts w:ascii="Arial" w:eastAsia="Arial" w:hAnsi="Arial" w:cs="Arial"/>
      <w:color w:val="000000"/>
      <w:sz w:val="16"/>
      <w:szCs w:val="16"/>
    </w:rPr>
  </w:style>
  <w:style w:type="paragraph" w:styleId="CommentText">
    <w:name w:val="annotation text"/>
    <w:basedOn w:val="Normal"/>
    <w:link w:val="CommentTextChar"/>
    <w:uiPriority w:val="99"/>
    <w:semiHidden/>
    <w:unhideWhenUsed/>
    <w:rsid w:val="00E82EF7"/>
    <w:pPr>
      <w:spacing w:line="240" w:lineRule="auto"/>
    </w:pPr>
    <w:rPr>
      <w:sz w:val="20"/>
      <w:szCs w:val="20"/>
    </w:rPr>
  </w:style>
  <w:style w:type="character" w:customStyle="1" w:styleId="CommentTextChar">
    <w:name w:val="Comment Text Char"/>
    <w:link w:val="CommentText"/>
    <w:uiPriority w:val="99"/>
    <w:semiHidden/>
    <w:rsid w:val="00E82EF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82EF7"/>
    <w:rPr>
      <w:b/>
      <w:bCs/>
    </w:rPr>
  </w:style>
  <w:style w:type="character" w:customStyle="1" w:styleId="CommentSubjectChar">
    <w:name w:val="Comment Subject Char"/>
    <w:link w:val="CommentSubject"/>
    <w:uiPriority w:val="99"/>
    <w:semiHidden/>
    <w:rsid w:val="00E82EF7"/>
    <w:rPr>
      <w:rFonts w:ascii="Arial" w:eastAsia="Arial" w:hAnsi="Arial" w:cs="Arial"/>
      <w:b/>
      <w:bCs/>
      <w:color w:val="000000"/>
      <w:sz w:val="20"/>
      <w:szCs w:val="20"/>
    </w:rPr>
  </w:style>
  <w:style w:type="table" w:customStyle="1" w:styleId="ShadedTable1">
    <w:name w:val="Shaded Table1"/>
    <w:basedOn w:val="TableNormal"/>
    <w:uiPriority w:val="99"/>
    <w:rsid w:val="00131B4C"/>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styleId="TOC1">
    <w:name w:val="toc 1"/>
    <w:basedOn w:val="Normal"/>
    <w:next w:val="Normal"/>
    <w:autoRedefine/>
    <w:rsid w:val="00805BCE"/>
    <w:pPr>
      <w:spacing w:after="100" w:line="240" w:lineRule="auto"/>
    </w:pPr>
  </w:style>
  <w:style w:type="paragraph" w:styleId="NoSpacing">
    <w:name w:val="No Spacing"/>
    <w:uiPriority w:val="1"/>
    <w:qFormat/>
    <w:rsid w:val="00605C9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9665">
      <w:bodyDiv w:val="1"/>
      <w:marLeft w:val="0"/>
      <w:marRight w:val="0"/>
      <w:marTop w:val="0"/>
      <w:marBottom w:val="0"/>
      <w:divBdr>
        <w:top w:val="none" w:sz="0" w:space="0" w:color="auto"/>
        <w:left w:val="none" w:sz="0" w:space="0" w:color="auto"/>
        <w:bottom w:val="none" w:sz="0" w:space="0" w:color="auto"/>
        <w:right w:val="none" w:sz="0" w:space="0" w:color="auto"/>
      </w:divBdr>
      <w:divsChild>
        <w:div w:id="127893193">
          <w:marLeft w:val="0"/>
          <w:marRight w:val="0"/>
          <w:marTop w:val="0"/>
          <w:marBottom w:val="0"/>
          <w:divBdr>
            <w:top w:val="none" w:sz="0" w:space="0" w:color="auto"/>
            <w:left w:val="none" w:sz="0" w:space="0" w:color="auto"/>
            <w:bottom w:val="none" w:sz="0" w:space="0" w:color="auto"/>
            <w:right w:val="none" w:sz="0" w:space="0" w:color="auto"/>
          </w:divBdr>
          <w:divsChild>
            <w:div w:id="1712879971">
              <w:marLeft w:val="0"/>
              <w:marRight w:val="0"/>
              <w:marTop w:val="0"/>
              <w:marBottom w:val="0"/>
              <w:divBdr>
                <w:top w:val="none" w:sz="0" w:space="0" w:color="auto"/>
                <w:left w:val="none" w:sz="0" w:space="0" w:color="auto"/>
                <w:bottom w:val="none" w:sz="0" w:space="0" w:color="auto"/>
                <w:right w:val="none" w:sz="0" w:space="0" w:color="auto"/>
              </w:divBdr>
              <w:divsChild>
                <w:div w:id="50420582">
                  <w:marLeft w:val="0"/>
                  <w:marRight w:val="0"/>
                  <w:marTop w:val="0"/>
                  <w:marBottom w:val="0"/>
                  <w:divBdr>
                    <w:top w:val="none" w:sz="0" w:space="0" w:color="auto"/>
                    <w:left w:val="none" w:sz="0" w:space="0" w:color="auto"/>
                    <w:bottom w:val="none" w:sz="0" w:space="0" w:color="auto"/>
                    <w:right w:val="none" w:sz="0" w:space="0" w:color="auto"/>
                  </w:divBdr>
                  <w:divsChild>
                    <w:div w:id="1942182421">
                      <w:marLeft w:val="0"/>
                      <w:marRight w:val="0"/>
                      <w:marTop w:val="0"/>
                      <w:marBottom w:val="0"/>
                      <w:divBdr>
                        <w:top w:val="none" w:sz="0" w:space="0" w:color="auto"/>
                        <w:left w:val="none" w:sz="0" w:space="0" w:color="auto"/>
                        <w:bottom w:val="none" w:sz="0" w:space="0" w:color="auto"/>
                        <w:right w:val="none" w:sz="0" w:space="0" w:color="auto"/>
                      </w:divBdr>
                    </w:div>
                  </w:divsChild>
                </w:div>
                <w:div w:id="839733212">
                  <w:marLeft w:val="0"/>
                  <w:marRight w:val="0"/>
                  <w:marTop w:val="0"/>
                  <w:marBottom w:val="0"/>
                  <w:divBdr>
                    <w:top w:val="none" w:sz="0" w:space="0" w:color="auto"/>
                    <w:left w:val="none" w:sz="0" w:space="0" w:color="auto"/>
                    <w:bottom w:val="none" w:sz="0" w:space="0" w:color="auto"/>
                    <w:right w:val="none" w:sz="0" w:space="0" w:color="auto"/>
                  </w:divBdr>
                  <w:divsChild>
                    <w:div w:id="1959557009">
                      <w:marLeft w:val="0"/>
                      <w:marRight w:val="0"/>
                      <w:marTop w:val="0"/>
                      <w:marBottom w:val="0"/>
                      <w:divBdr>
                        <w:top w:val="none" w:sz="0" w:space="0" w:color="auto"/>
                        <w:left w:val="none" w:sz="0" w:space="0" w:color="auto"/>
                        <w:bottom w:val="none" w:sz="0" w:space="0" w:color="auto"/>
                        <w:right w:val="none" w:sz="0" w:space="0" w:color="auto"/>
                      </w:divBdr>
                    </w:div>
                  </w:divsChild>
                </w:div>
                <w:div w:id="1429545815">
                  <w:marLeft w:val="0"/>
                  <w:marRight w:val="0"/>
                  <w:marTop w:val="0"/>
                  <w:marBottom w:val="0"/>
                  <w:divBdr>
                    <w:top w:val="none" w:sz="0" w:space="0" w:color="auto"/>
                    <w:left w:val="none" w:sz="0" w:space="0" w:color="auto"/>
                    <w:bottom w:val="none" w:sz="0" w:space="0" w:color="auto"/>
                    <w:right w:val="none" w:sz="0" w:space="0" w:color="auto"/>
                  </w:divBdr>
                  <w:divsChild>
                    <w:div w:id="1709914155">
                      <w:marLeft w:val="0"/>
                      <w:marRight w:val="0"/>
                      <w:marTop w:val="0"/>
                      <w:marBottom w:val="0"/>
                      <w:divBdr>
                        <w:top w:val="none" w:sz="0" w:space="0" w:color="auto"/>
                        <w:left w:val="none" w:sz="0" w:space="0" w:color="auto"/>
                        <w:bottom w:val="none" w:sz="0" w:space="0" w:color="auto"/>
                        <w:right w:val="none" w:sz="0" w:space="0" w:color="auto"/>
                      </w:divBdr>
                      <w:divsChild>
                        <w:div w:id="18317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6240">
                  <w:marLeft w:val="0"/>
                  <w:marRight w:val="0"/>
                  <w:marTop w:val="0"/>
                  <w:marBottom w:val="0"/>
                  <w:divBdr>
                    <w:top w:val="none" w:sz="0" w:space="0" w:color="auto"/>
                    <w:left w:val="none" w:sz="0" w:space="0" w:color="auto"/>
                    <w:bottom w:val="none" w:sz="0" w:space="0" w:color="auto"/>
                    <w:right w:val="none" w:sz="0" w:space="0" w:color="auto"/>
                  </w:divBdr>
                  <w:divsChild>
                    <w:div w:id="512454160">
                      <w:marLeft w:val="0"/>
                      <w:marRight w:val="0"/>
                      <w:marTop w:val="0"/>
                      <w:marBottom w:val="0"/>
                      <w:divBdr>
                        <w:top w:val="none" w:sz="0" w:space="0" w:color="auto"/>
                        <w:left w:val="none" w:sz="0" w:space="0" w:color="auto"/>
                        <w:bottom w:val="none" w:sz="0" w:space="0" w:color="auto"/>
                        <w:right w:val="none" w:sz="0" w:space="0" w:color="auto"/>
                      </w:divBdr>
                      <w:divsChild>
                        <w:div w:id="1067848526">
                          <w:marLeft w:val="0"/>
                          <w:marRight w:val="0"/>
                          <w:marTop w:val="0"/>
                          <w:marBottom w:val="0"/>
                          <w:divBdr>
                            <w:top w:val="none" w:sz="0" w:space="0" w:color="auto"/>
                            <w:left w:val="none" w:sz="0" w:space="0" w:color="auto"/>
                            <w:bottom w:val="none" w:sz="0" w:space="0" w:color="auto"/>
                            <w:right w:val="none" w:sz="0" w:space="0" w:color="auto"/>
                          </w:divBdr>
                        </w:div>
                      </w:divsChild>
                    </w:div>
                    <w:div w:id="576212682">
                      <w:marLeft w:val="0"/>
                      <w:marRight w:val="0"/>
                      <w:marTop w:val="0"/>
                      <w:marBottom w:val="0"/>
                      <w:divBdr>
                        <w:top w:val="none" w:sz="0" w:space="0" w:color="auto"/>
                        <w:left w:val="none" w:sz="0" w:space="0" w:color="auto"/>
                        <w:bottom w:val="none" w:sz="0" w:space="0" w:color="auto"/>
                        <w:right w:val="none" w:sz="0" w:space="0" w:color="auto"/>
                      </w:divBdr>
                      <w:divsChild>
                        <w:div w:id="473645351">
                          <w:marLeft w:val="0"/>
                          <w:marRight w:val="0"/>
                          <w:marTop w:val="0"/>
                          <w:marBottom w:val="0"/>
                          <w:divBdr>
                            <w:top w:val="none" w:sz="0" w:space="0" w:color="auto"/>
                            <w:left w:val="none" w:sz="0" w:space="0" w:color="auto"/>
                            <w:bottom w:val="none" w:sz="0" w:space="0" w:color="auto"/>
                            <w:right w:val="none" w:sz="0" w:space="0" w:color="auto"/>
                          </w:divBdr>
                          <w:divsChild>
                            <w:div w:id="669675929">
                              <w:marLeft w:val="0"/>
                              <w:marRight w:val="0"/>
                              <w:marTop w:val="0"/>
                              <w:marBottom w:val="0"/>
                              <w:divBdr>
                                <w:top w:val="none" w:sz="0" w:space="0" w:color="auto"/>
                                <w:left w:val="none" w:sz="0" w:space="0" w:color="auto"/>
                                <w:bottom w:val="none" w:sz="0" w:space="0" w:color="auto"/>
                                <w:right w:val="none" w:sz="0" w:space="0" w:color="auto"/>
                              </w:divBdr>
                              <w:divsChild>
                                <w:div w:id="5857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835">
                          <w:marLeft w:val="0"/>
                          <w:marRight w:val="0"/>
                          <w:marTop w:val="0"/>
                          <w:marBottom w:val="0"/>
                          <w:divBdr>
                            <w:top w:val="none" w:sz="0" w:space="0" w:color="auto"/>
                            <w:left w:val="none" w:sz="0" w:space="0" w:color="auto"/>
                            <w:bottom w:val="none" w:sz="0" w:space="0" w:color="auto"/>
                            <w:right w:val="none" w:sz="0" w:space="0" w:color="auto"/>
                          </w:divBdr>
                          <w:divsChild>
                            <w:div w:id="958872598">
                              <w:marLeft w:val="0"/>
                              <w:marRight w:val="0"/>
                              <w:marTop w:val="0"/>
                              <w:marBottom w:val="0"/>
                              <w:divBdr>
                                <w:top w:val="none" w:sz="0" w:space="0" w:color="auto"/>
                                <w:left w:val="none" w:sz="0" w:space="0" w:color="auto"/>
                                <w:bottom w:val="none" w:sz="0" w:space="0" w:color="auto"/>
                                <w:right w:val="none" w:sz="0" w:space="0" w:color="auto"/>
                              </w:divBdr>
                              <w:divsChild>
                                <w:div w:id="1996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7569">
                      <w:marLeft w:val="0"/>
                      <w:marRight w:val="0"/>
                      <w:marTop w:val="0"/>
                      <w:marBottom w:val="0"/>
                      <w:divBdr>
                        <w:top w:val="none" w:sz="0" w:space="0" w:color="auto"/>
                        <w:left w:val="none" w:sz="0" w:space="0" w:color="auto"/>
                        <w:bottom w:val="none" w:sz="0" w:space="0" w:color="auto"/>
                        <w:right w:val="none" w:sz="0" w:space="0" w:color="auto"/>
                      </w:divBdr>
                      <w:divsChild>
                        <w:div w:id="121473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82336">
      <w:bodyDiv w:val="1"/>
      <w:marLeft w:val="0"/>
      <w:marRight w:val="0"/>
      <w:marTop w:val="0"/>
      <w:marBottom w:val="0"/>
      <w:divBdr>
        <w:top w:val="none" w:sz="0" w:space="0" w:color="auto"/>
        <w:left w:val="none" w:sz="0" w:space="0" w:color="auto"/>
        <w:bottom w:val="none" w:sz="0" w:space="0" w:color="auto"/>
        <w:right w:val="none" w:sz="0" w:space="0" w:color="auto"/>
      </w:divBdr>
      <w:divsChild>
        <w:div w:id="503670207">
          <w:marLeft w:val="0"/>
          <w:marRight w:val="0"/>
          <w:marTop w:val="0"/>
          <w:marBottom w:val="0"/>
          <w:divBdr>
            <w:top w:val="none" w:sz="0" w:space="0" w:color="auto"/>
            <w:left w:val="none" w:sz="0" w:space="0" w:color="auto"/>
            <w:bottom w:val="none" w:sz="0" w:space="0" w:color="auto"/>
            <w:right w:val="none" w:sz="0" w:space="0" w:color="auto"/>
          </w:divBdr>
          <w:divsChild>
            <w:div w:id="316299261">
              <w:marLeft w:val="0"/>
              <w:marRight w:val="0"/>
              <w:marTop w:val="0"/>
              <w:marBottom w:val="0"/>
              <w:divBdr>
                <w:top w:val="none" w:sz="0" w:space="0" w:color="auto"/>
                <w:left w:val="none" w:sz="0" w:space="0" w:color="auto"/>
                <w:bottom w:val="none" w:sz="0" w:space="0" w:color="auto"/>
                <w:right w:val="none" w:sz="0" w:space="0" w:color="auto"/>
              </w:divBdr>
              <w:divsChild>
                <w:div w:id="1287465947">
                  <w:marLeft w:val="0"/>
                  <w:marRight w:val="0"/>
                  <w:marTop w:val="0"/>
                  <w:marBottom w:val="0"/>
                  <w:divBdr>
                    <w:top w:val="none" w:sz="0" w:space="0" w:color="auto"/>
                    <w:left w:val="none" w:sz="0" w:space="0" w:color="auto"/>
                    <w:bottom w:val="none" w:sz="0" w:space="0" w:color="auto"/>
                    <w:right w:val="none" w:sz="0" w:space="0" w:color="auto"/>
                  </w:divBdr>
                  <w:divsChild>
                    <w:div w:id="106653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63567">
              <w:marLeft w:val="0"/>
              <w:marRight w:val="0"/>
              <w:marTop w:val="0"/>
              <w:marBottom w:val="0"/>
              <w:divBdr>
                <w:top w:val="none" w:sz="0" w:space="0" w:color="auto"/>
                <w:left w:val="none" w:sz="0" w:space="0" w:color="auto"/>
                <w:bottom w:val="none" w:sz="0" w:space="0" w:color="auto"/>
                <w:right w:val="none" w:sz="0" w:space="0" w:color="auto"/>
              </w:divBdr>
              <w:divsChild>
                <w:div w:id="980378982">
                  <w:marLeft w:val="0"/>
                  <w:marRight w:val="0"/>
                  <w:marTop w:val="0"/>
                  <w:marBottom w:val="0"/>
                  <w:divBdr>
                    <w:top w:val="none" w:sz="0" w:space="0" w:color="auto"/>
                    <w:left w:val="none" w:sz="0" w:space="0" w:color="auto"/>
                    <w:bottom w:val="none" w:sz="0" w:space="0" w:color="auto"/>
                    <w:right w:val="none" w:sz="0" w:space="0" w:color="auto"/>
                  </w:divBdr>
                  <w:divsChild>
                    <w:div w:id="20438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7129">
              <w:marLeft w:val="0"/>
              <w:marRight w:val="0"/>
              <w:marTop w:val="0"/>
              <w:marBottom w:val="0"/>
              <w:divBdr>
                <w:top w:val="none" w:sz="0" w:space="0" w:color="auto"/>
                <w:left w:val="none" w:sz="0" w:space="0" w:color="auto"/>
                <w:bottom w:val="none" w:sz="0" w:space="0" w:color="auto"/>
                <w:right w:val="none" w:sz="0" w:space="0" w:color="auto"/>
              </w:divBdr>
              <w:divsChild>
                <w:div w:id="956327648">
                  <w:marLeft w:val="0"/>
                  <w:marRight w:val="0"/>
                  <w:marTop w:val="0"/>
                  <w:marBottom w:val="0"/>
                  <w:divBdr>
                    <w:top w:val="none" w:sz="0" w:space="0" w:color="auto"/>
                    <w:left w:val="none" w:sz="0" w:space="0" w:color="auto"/>
                    <w:bottom w:val="none" w:sz="0" w:space="0" w:color="auto"/>
                    <w:right w:val="none" w:sz="0" w:space="0" w:color="auto"/>
                  </w:divBdr>
                  <w:divsChild>
                    <w:div w:id="7094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574405">
          <w:marLeft w:val="0"/>
          <w:marRight w:val="0"/>
          <w:marTop w:val="0"/>
          <w:marBottom w:val="0"/>
          <w:divBdr>
            <w:top w:val="none" w:sz="0" w:space="0" w:color="auto"/>
            <w:left w:val="none" w:sz="0" w:space="0" w:color="auto"/>
            <w:bottom w:val="none" w:sz="0" w:space="0" w:color="auto"/>
            <w:right w:val="none" w:sz="0" w:space="0" w:color="auto"/>
          </w:divBdr>
          <w:divsChild>
            <w:div w:id="182595169">
              <w:marLeft w:val="0"/>
              <w:marRight w:val="0"/>
              <w:marTop w:val="0"/>
              <w:marBottom w:val="0"/>
              <w:divBdr>
                <w:top w:val="none" w:sz="0" w:space="0" w:color="auto"/>
                <w:left w:val="none" w:sz="0" w:space="0" w:color="auto"/>
                <w:bottom w:val="none" w:sz="0" w:space="0" w:color="auto"/>
                <w:right w:val="none" w:sz="0" w:space="0" w:color="auto"/>
              </w:divBdr>
            </w:div>
          </w:divsChild>
        </w:div>
        <w:div w:id="1531213939">
          <w:marLeft w:val="0"/>
          <w:marRight w:val="0"/>
          <w:marTop w:val="0"/>
          <w:marBottom w:val="0"/>
          <w:divBdr>
            <w:top w:val="none" w:sz="0" w:space="0" w:color="auto"/>
            <w:left w:val="none" w:sz="0" w:space="0" w:color="auto"/>
            <w:bottom w:val="none" w:sz="0" w:space="0" w:color="auto"/>
            <w:right w:val="none" w:sz="0" w:space="0" w:color="auto"/>
          </w:divBdr>
          <w:divsChild>
            <w:div w:id="2056347063">
              <w:marLeft w:val="0"/>
              <w:marRight w:val="0"/>
              <w:marTop w:val="0"/>
              <w:marBottom w:val="0"/>
              <w:divBdr>
                <w:top w:val="none" w:sz="0" w:space="0" w:color="auto"/>
                <w:left w:val="none" w:sz="0" w:space="0" w:color="auto"/>
                <w:bottom w:val="none" w:sz="0" w:space="0" w:color="auto"/>
                <w:right w:val="none" w:sz="0" w:space="0" w:color="auto"/>
              </w:divBdr>
            </w:div>
          </w:divsChild>
        </w:div>
        <w:div w:id="1896965504">
          <w:marLeft w:val="0"/>
          <w:marRight w:val="0"/>
          <w:marTop w:val="0"/>
          <w:marBottom w:val="0"/>
          <w:divBdr>
            <w:top w:val="none" w:sz="0" w:space="0" w:color="auto"/>
            <w:left w:val="none" w:sz="0" w:space="0" w:color="auto"/>
            <w:bottom w:val="none" w:sz="0" w:space="0" w:color="auto"/>
            <w:right w:val="none" w:sz="0" w:space="0" w:color="auto"/>
          </w:divBdr>
          <w:divsChild>
            <w:div w:id="562983979">
              <w:marLeft w:val="0"/>
              <w:marRight w:val="0"/>
              <w:marTop w:val="0"/>
              <w:marBottom w:val="0"/>
              <w:divBdr>
                <w:top w:val="none" w:sz="0" w:space="0" w:color="auto"/>
                <w:left w:val="none" w:sz="0" w:space="0" w:color="auto"/>
                <w:bottom w:val="none" w:sz="0" w:space="0" w:color="auto"/>
                <w:right w:val="none" w:sz="0" w:space="0" w:color="auto"/>
              </w:divBdr>
              <w:divsChild>
                <w:div w:id="554776671">
                  <w:marLeft w:val="0"/>
                  <w:marRight w:val="0"/>
                  <w:marTop w:val="0"/>
                  <w:marBottom w:val="0"/>
                  <w:divBdr>
                    <w:top w:val="none" w:sz="0" w:space="0" w:color="auto"/>
                    <w:left w:val="none" w:sz="0" w:space="0" w:color="auto"/>
                    <w:bottom w:val="none" w:sz="0" w:space="0" w:color="auto"/>
                    <w:right w:val="none" w:sz="0" w:space="0" w:color="auto"/>
                  </w:divBdr>
                  <w:divsChild>
                    <w:div w:id="19098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27072">
              <w:marLeft w:val="0"/>
              <w:marRight w:val="0"/>
              <w:marTop w:val="0"/>
              <w:marBottom w:val="0"/>
              <w:divBdr>
                <w:top w:val="none" w:sz="0" w:space="0" w:color="auto"/>
                <w:left w:val="none" w:sz="0" w:space="0" w:color="auto"/>
                <w:bottom w:val="none" w:sz="0" w:space="0" w:color="auto"/>
                <w:right w:val="none" w:sz="0" w:space="0" w:color="auto"/>
              </w:divBdr>
              <w:divsChild>
                <w:div w:id="92407626">
                  <w:marLeft w:val="0"/>
                  <w:marRight w:val="0"/>
                  <w:marTop w:val="0"/>
                  <w:marBottom w:val="0"/>
                  <w:divBdr>
                    <w:top w:val="none" w:sz="0" w:space="0" w:color="auto"/>
                    <w:left w:val="none" w:sz="0" w:space="0" w:color="auto"/>
                    <w:bottom w:val="none" w:sz="0" w:space="0" w:color="auto"/>
                    <w:right w:val="none" w:sz="0" w:space="0" w:color="auto"/>
                  </w:divBdr>
                  <w:divsChild>
                    <w:div w:id="15774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09932">
              <w:marLeft w:val="0"/>
              <w:marRight w:val="0"/>
              <w:marTop w:val="0"/>
              <w:marBottom w:val="0"/>
              <w:divBdr>
                <w:top w:val="none" w:sz="0" w:space="0" w:color="auto"/>
                <w:left w:val="none" w:sz="0" w:space="0" w:color="auto"/>
                <w:bottom w:val="none" w:sz="0" w:space="0" w:color="auto"/>
                <w:right w:val="none" w:sz="0" w:space="0" w:color="auto"/>
              </w:divBdr>
              <w:divsChild>
                <w:div w:id="386269402">
                  <w:marLeft w:val="0"/>
                  <w:marRight w:val="0"/>
                  <w:marTop w:val="0"/>
                  <w:marBottom w:val="0"/>
                  <w:divBdr>
                    <w:top w:val="none" w:sz="0" w:space="0" w:color="auto"/>
                    <w:left w:val="none" w:sz="0" w:space="0" w:color="auto"/>
                    <w:bottom w:val="none" w:sz="0" w:space="0" w:color="auto"/>
                    <w:right w:val="none" w:sz="0" w:space="0" w:color="auto"/>
                  </w:divBdr>
                  <w:divsChild>
                    <w:div w:id="48340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5048">
              <w:marLeft w:val="0"/>
              <w:marRight w:val="0"/>
              <w:marTop w:val="0"/>
              <w:marBottom w:val="0"/>
              <w:divBdr>
                <w:top w:val="none" w:sz="0" w:space="0" w:color="auto"/>
                <w:left w:val="none" w:sz="0" w:space="0" w:color="auto"/>
                <w:bottom w:val="none" w:sz="0" w:space="0" w:color="auto"/>
                <w:right w:val="none" w:sz="0" w:space="0" w:color="auto"/>
              </w:divBdr>
              <w:divsChild>
                <w:div w:id="233930113">
                  <w:marLeft w:val="0"/>
                  <w:marRight w:val="0"/>
                  <w:marTop w:val="0"/>
                  <w:marBottom w:val="0"/>
                  <w:divBdr>
                    <w:top w:val="none" w:sz="0" w:space="0" w:color="auto"/>
                    <w:left w:val="none" w:sz="0" w:space="0" w:color="auto"/>
                    <w:bottom w:val="none" w:sz="0" w:space="0" w:color="auto"/>
                    <w:right w:val="none" w:sz="0" w:space="0" w:color="auto"/>
                  </w:divBdr>
                  <w:divsChild>
                    <w:div w:id="1287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31139">
              <w:marLeft w:val="0"/>
              <w:marRight w:val="0"/>
              <w:marTop w:val="0"/>
              <w:marBottom w:val="0"/>
              <w:divBdr>
                <w:top w:val="none" w:sz="0" w:space="0" w:color="auto"/>
                <w:left w:val="none" w:sz="0" w:space="0" w:color="auto"/>
                <w:bottom w:val="none" w:sz="0" w:space="0" w:color="auto"/>
                <w:right w:val="none" w:sz="0" w:space="0" w:color="auto"/>
              </w:divBdr>
              <w:divsChild>
                <w:div w:id="1610089225">
                  <w:marLeft w:val="0"/>
                  <w:marRight w:val="0"/>
                  <w:marTop w:val="0"/>
                  <w:marBottom w:val="0"/>
                  <w:divBdr>
                    <w:top w:val="none" w:sz="0" w:space="0" w:color="auto"/>
                    <w:left w:val="none" w:sz="0" w:space="0" w:color="auto"/>
                    <w:bottom w:val="none" w:sz="0" w:space="0" w:color="auto"/>
                    <w:right w:val="none" w:sz="0" w:space="0" w:color="auto"/>
                  </w:divBdr>
                  <w:divsChild>
                    <w:div w:id="80585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21509">
          <w:marLeft w:val="0"/>
          <w:marRight w:val="0"/>
          <w:marTop w:val="0"/>
          <w:marBottom w:val="0"/>
          <w:divBdr>
            <w:top w:val="none" w:sz="0" w:space="0" w:color="auto"/>
            <w:left w:val="none" w:sz="0" w:space="0" w:color="auto"/>
            <w:bottom w:val="none" w:sz="0" w:space="0" w:color="auto"/>
            <w:right w:val="none" w:sz="0" w:space="0" w:color="auto"/>
          </w:divBdr>
          <w:divsChild>
            <w:div w:id="709108177">
              <w:marLeft w:val="0"/>
              <w:marRight w:val="0"/>
              <w:marTop w:val="0"/>
              <w:marBottom w:val="0"/>
              <w:divBdr>
                <w:top w:val="none" w:sz="0" w:space="0" w:color="auto"/>
                <w:left w:val="none" w:sz="0" w:space="0" w:color="auto"/>
                <w:bottom w:val="none" w:sz="0" w:space="0" w:color="auto"/>
                <w:right w:val="none" w:sz="0" w:space="0" w:color="auto"/>
              </w:divBdr>
            </w:div>
          </w:divsChild>
        </w:div>
        <w:div w:id="1899824937">
          <w:marLeft w:val="0"/>
          <w:marRight w:val="0"/>
          <w:marTop w:val="0"/>
          <w:marBottom w:val="0"/>
          <w:divBdr>
            <w:top w:val="none" w:sz="0" w:space="0" w:color="auto"/>
            <w:left w:val="none" w:sz="0" w:space="0" w:color="auto"/>
            <w:bottom w:val="none" w:sz="0" w:space="0" w:color="auto"/>
            <w:right w:val="none" w:sz="0" w:space="0" w:color="auto"/>
          </w:divBdr>
          <w:divsChild>
            <w:div w:id="73639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6213">
      <w:bodyDiv w:val="1"/>
      <w:marLeft w:val="0"/>
      <w:marRight w:val="0"/>
      <w:marTop w:val="0"/>
      <w:marBottom w:val="0"/>
      <w:divBdr>
        <w:top w:val="none" w:sz="0" w:space="0" w:color="auto"/>
        <w:left w:val="none" w:sz="0" w:space="0" w:color="auto"/>
        <w:bottom w:val="none" w:sz="0" w:space="0" w:color="auto"/>
        <w:right w:val="none" w:sz="0" w:space="0" w:color="auto"/>
      </w:divBdr>
      <w:divsChild>
        <w:div w:id="491067601">
          <w:marLeft w:val="0"/>
          <w:marRight w:val="0"/>
          <w:marTop w:val="0"/>
          <w:marBottom w:val="0"/>
          <w:divBdr>
            <w:top w:val="none" w:sz="0" w:space="0" w:color="auto"/>
            <w:left w:val="none" w:sz="0" w:space="0" w:color="auto"/>
            <w:bottom w:val="none" w:sz="0" w:space="0" w:color="auto"/>
            <w:right w:val="none" w:sz="0" w:space="0" w:color="auto"/>
          </w:divBdr>
          <w:divsChild>
            <w:div w:id="2138140577">
              <w:marLeft w:val="0"/>
              <w:marRight w:val="0"/>
              <w:marTop w:val="0"/>
              <w:marBottom w:val="0"/>
              <w:divBdr>
                <w:top w:val="none" w:sz="0" w:space="0" w:color="auto"/>
                <w:left w:val="none" w:sz="0" w:space="0" w:color="auto"/>
                <w:bottom w:val="none" w:sz="0" w:space="0" w:color="auto"/>
                <w:right w:val="none" w:sz="0" w:space="0" w:color="auto"/>
              </w:divBdr>
            </w:div>
          </w:divsChild>
        </w:div>
        <w:div w:id="1432050274">
          <w:marLeft w:val="0"/>
          <w:marRight w:val="0"/>
          <w:marTop w:val="0"/>
          <w:marBottom w:val="0"/>
          <w:divBdr>
            <w:top w:val="none" w:sz="0" w:space="0" w:color="auto"/>
            <w:left w:val="none" w:sz="0" w:space="0" w:color="auto"/>
            <w:bottom w:val="none" w:sz="0" w:space="0" w:color="auto"/>
            <w:right w:val="none" w:sz="0" w:space="0" w:color="auto"/>
          </w:divBdr>
          <w:divsChild>
            <w:div w:id="1245722730">
              <w:marLeft w:val="0"/>
              <w:marRight w:val="0"/>
              <w:marTop w:val="0"/>
              <w:marBottom w:val="0"/>
              <w:divBdr>
                <w:top w:val="none" w:sz="0" w:space="0" w:color="auto"/>
                <w:left w:val="none" w:sz="0" w:space="0" w:color="auto"/>
                <w:bottom w:val="none" w:sz="0" w:space="0" w:color="auto"/>
                <w:right w:val="none" w:sz="0" w:space="0" w:color="auto"/>
              </w:divBdr>
            </w:div>
          </w:divsChild>
        </w:div>
        <w:div w:id="1451513347">
          <w:marLeft w:val="0"/>
          <w:marRight w:val="0"/>
          <w:marTop w:val="0"/>
          <w:marBottom w:val="0"/>
          <w:divBdr>
            <w:top w:val="none" w:sz="0" w:space="0" w:color="auto"/>
            <w:left w:val="none" w:sz="0" w:space="0" w:color="auto"/>
            <w:bottom w:val="none" w:sz="0" w:space="0" w:color="auto"/>
            <w:right w:val="none" w:sz="0" w:space="0" w:color="auto"/>
          </w:divBdr>
          <w:divsChild>
            <w:div w:id="162171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938671">
      <w:bodyDiv w:val="1"/>
      <w:marLeft w:val="0"/>
      <w:marRight w:val="0"/>
      <w:marTop w:val="0"/>
      <w:marBottom w:val="0"/>
      <w:divBdr>
        <w:top w:val="none" w:sz="0" w:space="0" w:color="auto"/>
        <w:left w:val="none" w:sz="0" w:space="0" w:color="auto"/>
        <w:bottom w:val="none" w:sz="0" w:space="0" w:color="auto"/>
        <w:right w:val="none" w:sz="0" w:space="0" w:color="auto"/>
      </w:divBdr>
      <w:divsChild>
        <w:div w:id="1137721274">
          <w:marLeft w:val="0"/>
          <w:marRight w:val="0"/>
          <w:marTop w:val="0"/>
          <w:marBottom w:val="0"/>
          <w:divBdr>
            <w:top w:val="none" w:sz="0" w:space="0" w:color="auto"/>
            <w:left w:val="none" w:sz="0" w:space="0" w:color="auto"/>
            <w:bottom w:val="none" w:sz="0" w:space="0" w:color="auto"/>
            <w:right w:val="none" w:sz="0" w:space="0" w:color="auto"/>
          </w:divBdr>
          <w:divsChild>
            <w:div w:id="1648390163">
              <w:marLeft w:val="0"/>
              <w:marRight w:val="0"/>
              <w:marTop w:val="0"/>
              <w:marBottom w:val="0"/>
              <w:divBdr>
                <w:top w:val="none" w:sz="0" w:space="0" w:color="auto"/>
                <w:left w:val="none" w:sz="0" w:space="0" w:color="auto"/>
                <w:bottom w:val="none" w:sz="0" w:space="0" w:color="auto"/>
                <w:right w:val="none" w:sz="0" w:space="0" w:color="auto"/>
              </w:divBdr>
            </w:div>
          </w:divsChild>
        </w:div>
        <w:div w:id="1625303684">
          <w:marLeft w:val="0"/>
          <w:marRight w:val="0"/>
          <w:marTop w:val="0"/>
          <w:marBottom w:val="0"/>
          <w:divBdr>
            <w:top w:val="none" w:sz="0" w:space="0" w:color="auto"/>
            <w:left w:val="none" w:sz="0" w:space="0" w:color="auto"/>
            <w:bottom w:val="none" w:sz="0" w:space="0" w:color="auto"/>
            <w:right w:val="none" w:sz="0" w:space="0" w:color="auto"/>
          </w:divBdr>
          <w:divsChild>
            <w:div w:id="135075705">
              <w:marLeft w:val="0"/>
              <w:marRight w:val="0"/>
              <w:marTop w:val="0"/>
              <w:marBottom w:val="0"/>
              <w:divBdr>
                <w:top w:val="none" w:sz="0" w:space="0" w:color="auto"/>
                <w:left w:val="none" w:sz="0" w:space="0" w:color="auto"/>
                <w:bottom w:val="none" w:sz="0" w:space="0" w:color="auto"/>
                <w:right w:val="none" w:sz="0" w:space="0" w:color="auto"/>
              </w:divBdr>
              <w:divsChild>
                <w:div w:id="561870736">
                  <w:marLeft w:val="0"/>
                  <w:marRight w:val="0"/>
                  <w:marTop w:val="0"/>
                  <w:marBottom w:val="0"/>
                  <w:divBdr>
                    <w:top w:val="none" w:sz="0" w:space="0" w:color="auto"/>
                    <w:left w:val="none" w:sz="0" w:space="0" w:color="auto"/>
                    <w:bottom w:val="none" w:sz="0" w:space="0" w:color="auto"/>
                    <w:right w:val="none" w:sz="0" w:space="0" w:color="auto"/>
                  </w:divBdr>
                  <w:divsChild>
                    <w:div w:id="722414011">
                      <w:marLeft w:val="0"/>
                      <w:marRight w:val="0"/>
                      <w:marTop w:val="0"/>
                      <w:marBottom w:val="0"/>
                      <w:divBdr>
                        <w:top w:val="none" w:sz="0" w:space="0" w:color="auto"/>
                        <w:left w:val="none" w:sz="0" w:space="0" w:color="auto"/>
                        <w:bottom w:val="none" w:sz="0" w:space="0" w:color="auto"/>
                        <w:right w:val="none" w:sz="0" w:space="0" w:color="auto"/>
                      </w:divBdr>
                      <w:divsChild>
                        <w:div w:id="394402435">
                          <w:marLeft w:val="0"/>
                          <w:marRight w:val="0"/>
                          <w:marTop w:val="0"/>
                          <w:marBottom w:val="0"/>
                          <w:divBdr>
                            <w:top w:val="none" w:sz="0" w:space="0" w:color="auto"/>
                            <w:left w:val="none" w:sz="0" w:space="0" w:color="auto"/>
                            <w:bottom w:val="none" w:sz="0" w:space="0" w:color="auto"/>
                            <w:right w:val="none" w:sz="0" w:space="0" w:color="auto"/>
                          </w:divBdr>
                        </w:div>
                      </w:divsChild>
                    </w:div>
                    <w:div w:id="1737241915">
                      <w:marLeft w:val="0"/>
                      <w:marRight w:val="0"/>
                      <w:marTop w:val="0"/>
                      <w:marBottom w:val="0"/>
                      <w:divBdr>
                        <w:top w:val="none" w:sz="0" w:space="0" w:color="auto"/>
                        <w:left w:val="none" w:sz="0" w:space="0" w:color="auto"/>
                        <w:bottom w:val="none" w:sz="0" w:space="0" w:color="auto"/>
                        <w:right w:val="none" w:sz="0" w:space="0" w:color="auto"/>
                      </w:divBdr>
                      <w:divsChild>
                        <w:div w:id="256868339">
                          <w:marLeft w:val="0"/>
                          <w:marRight w:val="0"/>
                          <w:marTop w:val="0"/>
                          <w:marBottom w:val="0"/>
                          <w:divBdr>
                            <w:top w:val="none" w:sz="0" w:space="0" w:color="auto"/>
                            <w:left w:val="none" w:sz="0" w:space="0" w:color="auto"/>
                            <w:bottom w:val="none" w:sz="0" w:space="0" w:color="auto"/>
                            <w:right w:val="none" w:sz="0" w:space="0" w:color="auto"/>
                          </w:divBdr>
                          <w:divsChild>
                            <w:div w:id="489252014">
                              <w:marLeft w:val="0"/>
                              <w:marRight w:val="0"/>
                              <w:marTop w:val="0"/>
                              <w:marBottom w:val="0"/>
                              <w:divBdr>
                                <w:top w:val="none" w:sz="0" w:space="0" w:color="auto"/>
                                <w:left w:val="none" w:sz="0" w:space="0" w:color="auto"/>
                                <w:bottom w:val="none" w:sz="0" w:space="0" w:color="auto"/>
                                <w:right w:val="none" w:sz="0" w:space="0" w:color="auto"/>
                              </w:divBdr>
                              <w:divsChild>
                                <w:div w:id="8779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656">
                          <w:marLeft w:val="0"/>
                          <w:marRight w:val="0"/>
                          <w:marTop w:val="0"/>
                          <w:marBottom w:val="0"/>
                          <w:divBdr>
                            <w:top w:val="none" w:sz="0" w:space="0" w:color="auto"/>
                            <w:left w:val="none" w:sz="0" w:space="0" w:color="auto"/>
                            <w:bottom w:val="none" w:sz="0" w:space="0" w:color="auto"/>
                            <w:right w:val="none" w:sz="0" w:space="0" w:color="auto"/>
                          </w:divBdr>
                          <w:divsChild>
                            <w:div w:id="1790082352">
                              <w:marLeft w:val="0"/>
                              <w:marRight w:val="0"/>
                              <w:marTop w:val="0"/>
                              <w:marBottom w:val="0"/>
                              <w:divBdr>
                                <w:top w:val="none" w:sz="0" w:space="0" w:color="auto"/>
                                <w:left w:val="none" w:sz="0" w:space="0" w:color="auto"/>
                                <w:bottom w:val="none" w:sz="0" w:space="0" w:color="auto"/>
                                <w:right w:val="none" w:sz="0" w:space="0" w:color="auto"/>
                              </w:divBdr>
                              <w:divsChild>
                                <w:div w:id="188143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2893">
                          <w:marLeft w:val="0"/>
                          <w:marRight w:val="0"/>
                          <w:marTop w:val="0"/>
                          <w:marBottom w:val="0"/>
                          <w:divBdr>
                            <w:top w:val="none" w:sz="0" w:space="0" w:color="auto"/>
                            <w:left w:val="none" w:sz="0" w:space="0" w:color="auto"/>
                            <w:bottom w:val="none" w:sz="0" w:space="0" w:color="auto"/>
                            <w:right w:val="none" w:sz="0" w:space="0" w:color="auto"/>
                          </w:divBdr>
                          <w:divsChild>
                            <w:div w:id="1698432082">
                              <w:marLeft w:val="0"/>
                              <w:marRight w:val="0"/>
                              <w:marTop w:val="0"/>
                              <w:marBottom w:val="0"/>
                              <w:divBdr>
                                <w:top w:val="none" w:sz="0" w:space="0" w:color="auto"/>
                                <w:left w:val="none" w:sz="0" w:space="0" w:color="auto"/>
                                <w:bottom w:val="none" w:sz="0" w:space="0" w:color="auto"/>
                                <w:right w:val="none" w:sz="0" w:space="0" w:color="auto"/>
                              </w:divBdr>
                              <w:divsChild>
                                <w:div w:id="60346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908">
                          <w:marLeft w:val="0"/>
                          <w:marRight w:val="0"/>
                          <w:marTop w:val="0"/>
                          <w:marBottom w:val="0"/>
                          <w:divBdr>
                            <w:top w:val="none" w:sz="0" w:space="0" w:color="auto"/>
                            <w:left w:val="none" w:sz="0" w:space="0" w:color="auto"/>
                            <w:bottom w:val="none" w:sz="0" w:space="0" w:color="auto"/>
                            <w:right w:val="none" w:sz="0" w:space="0" w:color="auto"/>
                          </w:divBdr>
                          <w:divsChild>
                            <w:div w:id="1263299023">
                              <w:marLeft w:val="0"/>
                              <w:marRight w:val="0"/>
                              <w:marTop w:val="0"/>
                              <w:marBottom w:val="0"/>
                              <w:divBdr>
                                <w:top w:val="none" w:sz="0" w:space="0" w:color="auto"/>
                                <w:left w:val="none" w:sz="0" w:space="0" w:color="auto"/>
                                <w:bottom w:val="none" w:sz="0" w:space="0" w:color="auto"/>
                                <w:right w:val="none" w:sz="0" w:space="0" w:color="auto"/>
                              </w:divBdr>
                              <w:divsChild>
                                <w:div w:id="95960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3725">
              <w:marLeft w:val="0"/>
              <w:marRight w:val="0"/>
              <w:marTop w:val="0"/>
              <w:marBottom w:val="0"/>
              <w:divBdr>
                <w:top w:val="none" w:sz="0" w:space="0" w:color="auto"/>
                <w:left w:val="none" w:sz="0" w:space="0" w:color="auto"/>
                <w:bottom w:val="none" w:sz="0" w:space="0" w:color="auto"/>
                <w:right w:val="none" w:sz="0" w:space="0" w:color="auto"/>
              </w:divBdr>
              <w:divsChild>
                <w:div w:id="1741057046">
                  <w:marLeft w:val="0"/>
                  <w:marRight w:val="0"/>
                  <w:marTop w:val="0"/>
                  <w:marBottom w:val="0"/>
                  <w:divBdr>
                    <w:top w:val="none" w:sz="0" w:space="0" w:color="auto"/>
                    <w:left w:val="none" w:sz="0" w:space="0" w:color="auto"/>
                    <w:bottom w:val="none" w:sz="0" w:space="0" w:color="auto"/>
                    <w:right w:val="none" w:sz="0" w:space="0" w:color="auto"/>
                  </w:divBdr>
                  <w:divsChild>
                    <w:div w:id="1993631003">
                      <w:marLeft w:val="0"/>
                      <w:marRight w:val="0"/>
                      <w:marTop w:val="0"/>
                      <w:marBottom w:val="0"/>
                      <w:divBdr>
                        <w:top w:val="none" w:sz="0" w:space="0" w:color="auto"/>
                        <w:left w:val="none" w:sz="0" w:space="0" w:color="auto"/>
                        <w:bottom w:val="none" w:sz="0" w:space="0" w:color="auto"/>
                        <w:right w:val="none" w:sz="0" w:space="0" w:color="auto"/>
                      </w:divBdr>
                      <w:divsChild>
                        <w:div w:id="12869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331903">
                  <w:marLeft w:val="0"/>
                  <w:marRight w:val="0"/>
                  <w:marTop w:val="0"/>
                  <w:marBottom w:val="0"/>
                  <w:divBdr>
                    <w:top w:val="none" w:sz="0" w:space="0" w:color="auto"/>
                    <w:left w:val="none" w:sz="0" w:space="0" w:color="auto"/>
                    <w:bottom w:val="none" w:sz="0" w:space="0" w:color="auto"/>
                    <w:right w:val="none" w:sz="0" w:space="0" w:color="auto"/>
                  </w:divBdr>
                  <w:divsChild>
                    <w:div w:id="1780417869">
                      <w:marLeft w:val="0"/>
                      <w:marRight w:val="0"/>
                      <w:marTop w:val="0"/>
                      <w:marBottom w:val="0"/>
                      <w:divBdr>
                        <w:top w:val="none" w:sz="0" w:space="0" w:color="auto"/>
                        <w:left w:val="none" w:sz="0" w:space="0" w:color="auto"/>
                        <w:bottom w:val="none" w:sz="0" w:space="0" w:color="auto"/>
                        <w:right w:val="none" w:sz="0" w:space="0" w:color="auto"/>
                      </w:divBdr>
                      <w:divsChild>
                        <w:div w:id="61606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2324">
              <w:marLeft w:val="0"/>
              <w:marRight w:val="0"/>
              <w:marTop w:val="0"/>
              <w:marBottom w:val="0"/>
              <w:divBdr>
                <w:top w:val="none" w:sz="0" w:space="0" w:color="auto"/>
                <w:left w:val="none" w:sz="0" w:space="0" w:color="auto"/>
                <w:bottom w:val="none" w:sz="0" w:space="0" w:color="auto"/>
                <w:right w:val="none" w:sz="0" w:space="0" w:color="auto"/>
              </w:divBdr>
              <w:divsChild>
                <w:div w:id="760419520">
                  <w:marLeft w:val="0"/>
                  <w:marRight w:val="0"/>
                  <w:marTop w:val="0"/>
                  <w:marBottom w:val="0"/>
                  <w:divBdr>
                    <w:top w:val="none" w:sz="0" w:space="0" w:color="auto"/>
                    <w:left w:val="none" w:sz="0" w:space="0" w:color="auto"/>
                    <w:bottom w:val="none" w:sz="0" w:space="0" w:color="auto"/>
                    <w:right w:val="none" w:sz="0" w:space="0" w:color="auto"/>
                  </w:divBdr>
                </w:div>
              </w:divsChild>
            </w:div>
            <w:div w:id="632443556">
              <w:marLeft w:val="0"/>
              <w:marRight w:val="0"/>
              <w:marTop w:val="0"/>
              <w:marBottom w:val="0"/>
              <w:divBdr>
                <w:top w:val="none" w:sz="0" w:space="0" w:color="auto"/>
                <w:left w:val="none" w:sz="0" w:space="0" w:color="auto"/>
                <w:bottom w:val="none" w:sz="0" w:space="0" w:color="auto"/>
                <w:right w:val="none" w:sz="0" w:space="0" w:color="auto"/>
              </w:divBdr>
              <w:divsChild>
                <w:div w:id="801576619">
                  <w:marLeft w:val="0"/>
                  <w:marRight w:val="0"/>
                  <w:marTop w:val="0"/>
                  <w:marBottom w:val="0"/>
                  <w:divBdr>
                    <w:top w:val="none" w:sz="0" w:space="0" w:color="auto"/>
                    <w:left w:val="none" w:sz="0" w:space="0" w:color="auto"/>
                    <w:bottom w:val="none" w:sz="0" w:space="0" w:color="auto"/>
                    <w:right w:val="none" w:sz="0" w:space="0" w:color="auto"/>
                  </w:divBdr>
                </w:div>
              </w:divsChild>
            </w:div>
            <w:div w:id="672224462">
              <w:marLeft w:val="0"/>
              <w:marRight w:val="0"/>
              <w:marTop w:val="0"/>
              <w:marBottom w:val="0"/>
              <w:divBdr>
                <w:top w:val="none" w:sz="0" w:space="0" w:color="auto"/>
                <w:left w:val="none" w:sz="0" w:space="0" w:color="auto"/>
                <w:bottom w:val="none" w:sz="0" w:space="0" w:color="auto"/>
                <w:right w:val="none" w:sz="0" w:space="0" w:color="auto"/>
              </w:divBdr>
              <w:divsChild>
                <w:div w:id="1987975311">
                  <w:marLeft w:val="0"/>
                  <w:marRight w:val="0"/>
                  <w:marTop w:val="0"/>
                  <w:marBottom w:val="0"/>
                  <w:divBdr>
                    <w:top w:val="none" w:sz="0" w:space="0" w:color="auto"/>
                    <w:left w:val="none" w:sz="0" w:space="0" w:color="auto"/>
                    <w:bottom w:val="none" w:sz="0" w:space="0" w:color="auto"/>
                    <w:right w:val="none" w:sz="0" w:space="0" w:color="auto"/>
                  </w:divBdr>
                </w:div>
              </w:divsChild>
            </w:div>
            <w:div w:id="736826863">
              <w:marLeft w:val="0"/>
              <w:marRight w:val="0"/>
              <w:marTop w:val="0"/>
              <w:marBottom w:val="0"/>
              <w:divBdr>
                <w:top w:val="none" w:sz="0" w:space="0" w:color="auto"/>
                <w:left w:val="none" w:sz="0" w:space="0" w:color="auto"/>
                <w:bottom w:val="none" w:sz="0" w:space="0" w:color="auto"/>
                <w:right w:val="none" w:sz="0" w:space="0" w:color="auto"/>
              </w:divBdr>
              <w:divsChild>
                <w:div w:id="1444111161">
                  <w:marLeft w:val="0"/>
                  <w:marRight w:val="0"/>
                  <w:marTop w:val="0"/>
                  <w:marBottom w:val="0"/>
                  <w:divBdr>
                    <w:top w:val="none" w:sz="0" w:space="0" w:color="auto"/>
                    <w:left w:val="none" w:sz="0" w:space="0" w:color="auto"/>
                    <w:bottom w:val="none" w:sz="0" w:space="0" w:color="auto"/>
                    <w:right w:val="none" w:sz="0" w:space="0" w:color="auto"/>
                  </w:divBdr>
                </w:div>
              </w:divsChild>
            </w:div>
            <w:div w:id="764038345">
              <w:marLeft w:val="0"/>
              <w:marRight w:val="0"/>
              <w:marTop w:val="0"/>
              <w:marBottom w:val="0"/>
              <w:divBdr>
                <w:top w:val="none" w:sz="0" w:space="0" w:color="auto"/>
                <w:left w:val="none" w:sz="0" w:space="0" w:color="auto"/>
                <w:bottom w:val="none" w:sz="0" w:space="0" w:color="auto"/>
                <w:right w:val="none" w:sz="0" w:space="0" w:color="auto"/>
              </w:divBdr>
              <w:divsChild>
                <w:div w:id="1202286621">
                  <w:marLeft w:val="0"/>
                  <w:marRight w:val="0"/>
                  <w:marTop w:val="0"/>
                  <w:marBottom w:val="0"/>
                  <w:divBdr>
                    <w:top w:val="none" w:sz="0" w:space="0" w:color="auto"/>
                    <w:left w:val="none" w:sz="0" w:space="0" w:color="auto"/>
                    <w:bottom w:val="none" w:sz="0" w:space="0" w:color="auto"/>
                    <w:right w:val="none" w:sz="0" w:space="0" w:color="auto"/>
                  </w:divBdr>
                  <w:divsChild>
                    <w:div w:id="1621034927">
                      <w:marLeft w:val="0"/>
                      <w:marRight w:val="0"/>
                      <w:marTop w:val="0"/>
                      <w:marBottom w:val="0"/>
                      <w:divBdr>
                        <w:top w:val="none" w:sz="0" w:space="0" w:color="auto"/>
                        <w:left w:val="none" w:sz="0" w:space="0" w:color="auto"/>
                        <w:bottom w:val="none" w:sz="0" w:space="0" w:color="auto"/>
                        <w:right w:val="none" w:sz="0" w:space="0" w:color="auto"/>
                      </w:divBdr>
                      <w:divsChild>
                        <w:div w:id="3731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241764">
              <w:marLeft w:val="0"/>
              <w:marRight w:val="0"/>
              <w:marTop w:val="0"/>
              <w:marBottom w:val="0"/>
              <w:divBdr>
                <w:top w:val="none" w:sz="0" w:space="0" w:color="auto"/>
                <w:left w:val="none" w:sz="0" w:space="0" w:color="auto"/>
                <w:bottom w:val="none" w:sz="0" w:space="0" w:color="auto"/>
                <w:right w:val="none" w:sz="0" w:space="0" w:color="auto"/>
              </w:divBdr>
              <w:divsChild>
                <w:div w:id="1802721111">
                  <w:marLeft w:val="0"/>
                  <w:marRight w:val="0"/>
                  <w:marTop w:val="0"/>
                  <w:marBottom w:val="0"/>
                  <w:divBdr>
                    <w:top w:val="none" w:sz="0" w:space="0" w:color="auto"/>
                    <w:left w:val="none" w:sz="0" w:space="0" w:color="auto"/>
                    <w:bottom w:val="none" w:sz="0" w:space="0" w:color="auto"/>
                    <w:right w:val="none" w:sz="0" w:space="0" w:color="auto"/>
                  </w:divBdr>
                </w:div>
              </w:divsChild>
            </w:div>
            <w:div w:id="890383736">
              <w:marLeft w:val="0"/>
              <w:marRight w:val="0"/>
              <w:marTop w:val="0"/>
              <w:marBottom w:val="0"/>
              <w:divBdr>
                <w:top w:val="none" w:sz="0" w:space="0" w:color="auto"/>
                <w:left w:val="none" w:sz="0" w:space="0" w:color="auto"/>
                <w:bottom w:val="none" w:sz="0" w:space="0" w:color="auto"/>
                <w:right w:val="none" w:sz="0" w:space="0" w:color="auto"/>
              </w:divBdr>
              <w:divsChild>
                <w:div w:id="1273516723">
                  <w:marLeft w:val="0"/>
                  <w:marRight w:val="0"/>
                  <w:marTop w:val="0"/>
                  <w:marBottom w:val="0"/>
                  <w:divBdr>
                    <w:top w:val="none" w:sz="0" w:space="0" w:color="auto"/>
                    <w:left w:val="none" w:sz="0" w:space="0" w:color="auto"/>
                    <w:bottom w:val="none" w:sz="0" w:space="0" w:color="auto"/>
                    <w:right w:val="none" w:sz="0" w:space="0" w:color="auto"/>
                  </w:divBdr>
                </w:div>
              </w:divsChild>
            </w:div>
            <w:div w:id="1246067003">
              <w:marLeft w:val="0"/>
              <w:marRight w:val="0"/>
              <w:marTop w:val="0"/>
              <w:marBottom w:val="0"/>
              <w:divBdr>
                <w:top w:val="none" w:sz="0" w:space="0" w:color="auto"/>
                <w:left w:val="none" w:sz="0" w:space="0" w:color="auto"/>
                <w:bottom w:val="none" w:sz="0" w:space="0" w:color="auto"/>
                <w:right w:val="none" w:sz="0" w:space="0" w:color="auto"/>
              </w:divBdr>
              <w:divsChild>
                <w:div w:id="2007392398">
                  <w:marLeft w:val="0"/>
                  <w:marRight w:val="0"/>
                  <w:marTop w:val="0"/>
                  <w:marBottom w:val="0"/>
                  <w:divBdr>
                    <w:top w:val="none" w:sz="0" w:space="0" w:color="auto"/>
                    <w:left w:val="none" w:sz="0" w:space="0" w:color="auto"/>
                    <w:bottom w:val="none" w:sz="0" w:space="0" w:color="auto"/>
                    <w:right w:val="none" w:sz="0" w:space="0" w:color="auto"/>
                  </w:divBdr>
                </w:div>
              </w:divsChild>
            </w:div>
            <w:div w:id="1261839187">
              <w:marLeft w:val="0"/>
              <w:marRight w:val="0"/>
              <w:marTop w:val="0"/>
              <w:marBottom w:val="0"/>
              <w:divBdr>
                <w:top w:val="none" w:sz="0" w:space="0" w:color="auto"/>
                <w:left w:val="none" w:sz="0" w:space="0" w:color="auto"/>
                <w:bottom w:val="none" w:sz="0" w:space="0" w:color="auto"/>
                <w:right w:val="none" w:sz="0" w:space="0" w:color="auto"/>
              </w:divBdr>
              <w:divsChild>
                <w:div w:id="220751024">
                  <w:marLeft w:val="0"/>
                  <w:marRight w:val="0"/>
                  <w:marTop w:val="0"/>
                  <w:marBottom w:val="0"/>
                  <w:divBdr>
                    <w:top w:val="none" w:sz="0" w:space="0" w:color="auto"/>
                    <w:left w:val="none" w:sz="0" w:space="0" w:color="auto"/>
                    <w:bottom w:val="none" w:sz="0" w:space="0" w:color="auto"/>
                    <w:right w:val="none" w:sz="0" w:space="0" w:color="auto"/>
                  </w:divBdr>
                </w:div>
              </w:divsChild>
            </w:div>
            <w:div w:id="1372266503">
              <w:marLeft w:val="0"/>
              <w:marRight w:val="0"/>
              <w:marTop w:val="0"/>
              <w:marBottom w:val="0"/>
              <w:divBdr>
                <w:top w:val="none" w:sz="0" w:space="0" w:color="auto"/>
                <w:left w:val="none" w:sz="0" w:space="0" w:color="auto"/>
                <w:bottom w:val="none" w:sz="0" w:space="0" w:color="auto"/>
                <w:right w:val="none" w:sz="0" w:space="0" w:color="auto"/>
              </w:divBdr>
              <w:divsChild>
                <w:div w:id="2081056954">
                  <w:marLeft w:val="0"/>
                  <w:marRight w:val="0"/>
                  <w:marTop w:val="0"/>
                  <w:marBottom w:val="0"/>
                  <w:divBdr>
                    <w:top w:val="none" w:sz="0" w:space="0" w:color="auto"/>
                    <w:left w:val="none" w:sz="0" w:space="0" w:color="auto"/>
                    <w:bottom w:val="none" w:sz="0" w:space="0" w:color="auto"/>
                    <w:right w:val="none" w:sz="0" w:space="0" w:color="auto"/>
                  </w:divBdr>
                </w:div>
              </w:divsChild>
            </w:div>
            <w:div w:id="1442920144">
              <w:marLeft w:val="0"/>
              <w:marRight w:val="0"/>
              <w:marTop w:val="0"/>
              <w:marBottom w:val="0"/>
              <w:divBdr>
                <w:top w:val="none" w:sz="0" w:space="0" w:color="auto"/>
                <w:left w:val="none" w:sz="0" w:space="0" w:color="auto"/>
                <w:bottom w:val="none" w:sz="0" w:space="0" w:color="auto"/>
                <w:right w:val="none" w:sz="0" w:space="0" w:color="auto"/>
              </w:divBdr>
              <w:divsChild>
                <w:div w:id="815490080">
                  <w:marLeft w:val="0"/>
                  <w:marRight w:val="0"/>
                  <w:marTop w:val="0"/>
                  <w:marBottom w:val="0"/>
                  <w:divBdr>
                    <w:top w:val="none" w:sz="0" w:space="0" w:color="auto"/>
                    <w:left w:val="none" w:sz="0" w:space="0" w:color="auto"/>
                    <w:bottom w:val="none" w:sz="0" w:space="0" w:color="auto"/>
                    <w:right w:val="none" w:sz="0" w:space="0" w:color="auto"/>
                  </w:divBdr>
                </w:div>
              </w:divsChild>
            </w:div>
            <w:div w:id="1486122945">
              <w:marLeft w:val="0"/>
              <w:marRight w:val="0"/>
              <w:marTop w:val="0"/>
              <w:marBottom w:val="0"/>
              <w:divBdr>
                <w:top w:val="none" w:sz="0" w:space="0" w:color="auto"/>
                <w:left w:val="none" w:sz="0" w:space="0" w:color="auto"/>
                <w:bottom w:val="none" w:sz="0" w:space="0" w:color="auto"/>
                <w:right w:val="none" w:sz="0" w:space="0" w:color="auto"/>
              </w:divBdr>
              <w:divsChild>
                <w:div w:id="942496823">
                  <w:marLeft w:val="0"/>
                  <w:marRight w:val="0"/>
                  <w:marTop w:val="0"/>
                  <w:marBottom w:val="0"/>
                  <w:divBdr>
                    <w:top w:val="none" w:sz="0" w:space="0" w:color="auto"/>
                    <w:left w:val="none" w:sz="0" w:space="0" w:color="auto"/>
                    <w:bottom w:val="none" w:sz="0" w:space="0" w:color="auto"/>
                    <w:right w:val="none" w:sz="0" w:space="0" w:color="auto"/>
                  </w:divBdr>
                </w:div>
              </w:divsChild>
            </w:div>
            <w:div w:id="1587297939">
              <w:marLeft w:val="0"/>
              <w:marRight w:val="0"/>
              <w:marTop w:val="0"/>
              <w:marBottom w:val="0"/>
              <w:divBdr>
                <w:top w:val="none" w:sz="0" w:space="0" w:color="auto"/>
                <w:left w:val="none" w:sz="0" w:space="0" w:color="auto"/>
                <w:bottom w:val="none" w:sz="0" w:space="0" w:color="auto"/>
                <w:right w:val="none" w:sz="0" w:space="0" w:color="auto"/>
              </w:divBdr>
              <w:divsChild>
                <w:div w:id="134568345">
                  <w:marLeft w:val="0"/>
                  <w:marRight w:val="0"/>
                  <w:marTop w:val="0"/>
                  <w:marBottom w:val="0"/>
                  <w:divBdr>
                    <w:top w:val="none" w:sz="0" w:space="0" w:color="auto"/>
                    <w:left w:val="none" w:sz="0" w:space="0" w:color="auto"/>
                    <w:bottom w:val="none" w:sz="0" w:space="0" w:color="auto"/>
                    <w:right w:val="none" w:sz="0" w:space="0" w:color="auto"/>
                  </w:divBdr>
                </w:div>
              </w:divsChild>
            </w:div>
            <w:div w:id="1798520914">
              <w:marLeft w:val="0"/>
              <w:marRight w:val="0"/>
              <w:marTop w:val="0"/>
              <w:marBottom w:val="0"/>
              <w:divBdr>
                <w:top w:val="none" w:sz="0" w:space="0" w:color="auto"/>
                <w:left w:val="none" w:sz="0" w:space="0" w:color="auto"/>
                <w:bottom w:val="none" w:sz="0" w:space="0" w:color="auto"/>
                <w:right w:val="none" w:sz="0" w:space="0" w:color="auto"/>
              </w:divBdr>
              <w:divsChild>
                <w:div w:id="2072846841">
                  <w:marLeft w:val="0"/>
                  <w:marRight w:val="0"/>
                  <w:marTop w:val="0"/>
                  <w:marBottom w:val="0"/>
                  <w:divBdr>
                    <w:top w:val="none" w:sz="0" w:space="0" w:color="auto"/>
                    <w:left w:val="none" w:sz="0" w:space="0" w:color="auto"/>
                    <w:bottom w:val="none" w:sz="0" w:space="0" w:color="auto"/>
                    <w:right w:val="none" w:sz="0" w:space="0" w:color="auto"/>
                  </w:divBdr>
                </w:div>
              </w:divsChild>
            </w:div>
            <w:div w:id="1925531107">
              <w:marLeft w:val="0"/>
              <w:marRight w:val="0"/>
              <w:marTop w:val="0"/>
              <w:marBottom w:val="0"/>
              <w:divBdr>
                <w:top w:val="none" w:sz="0" w:space="0" w:color="auto"/>
                <w:left w:val="none" w:sz="0" w:space="0" w:color="auto"/>
                <w:bottom w:val="none" w:sz="0" w:space="0" w:color="auto"/>
                <w:right w:val="none" w:sz="0" w:space="0" w:color="auto"/>
              </w:divBdr>
              <w:divsChild>
                <w:div w:id="961880870">
                  <w:marLeft w:val="0"/>
                  <w:marRight w:val="0"/>
                  <w:marTop w:val="0"/>
                  <w:marBottom w:val="0"/>
                  <w:divBdr>
                    <w:top w:val="none" w:sz="0" w:space="0" w:color="auto"/>
                    <w:left w:val="none" w:sz="0" w:space="0" w:color="auto"/>
                    <w:bottom w:val="none" w:sz="0" w:space="0" w:color="auto"/>
                    <w:right w:val="none" w:sz="0" w:space="0" w:color="auto"/>
                  </w:divBdr>
                </w:div>
              </w:divsChild>
            </w:div>
            <w:div w:id="2104842049">
              <w:marLeft w:val="0"/>
              <w:marRight w:val="0"/>
              <w:marTop w:val="0"/>
              <w:marBottom w:val="0"/>
              <w:divBdr>
                <w:top w:val="none" w:sz="0" w:space="0" w:color="auto"/>
                <w:left w:val="none" w:sz="0" w:space="0" w:color="auto"/>
                <w:bottom w:val="none" w:sz="0" w:space="0" w:color="auto"/>
                <w:right w:val="none" w:sz="0" w:space="0" w:color="auto"/>
              </w:divBdr>
              <w:divsChild>
                <w:div w:id="543441547">
                  <w:marLeft w:val="0"/>
                  <w:marRight w:val="0"/>
                  <w:marTop w:val="0"/>
                  <w:marBottom w:val="0"/>
                  <w:divBdr>
                    <w:top w:val="none" w:sz="0" w:space="0" w:color="auto"/>
                    <w:left w:val="none" w:sz="0" w:space="0" w:color="auto"/>
                    <w:bottom w:val="none" w:sz="0" w:space="0" w:color="auto"/>
                    <w:right w:val="none" w:sz="0" w:space="0" w:color="auto"/>
                  </w:divBdr>
                </w:div>
              </w:divsChild>
            </w:div>
            <w:div w:id="2111662644">
              <w:marLeft w:val="0"/>
              <w:marRight w:val="0"/>
              <w:marTop w:val="0"/>
              <w:marBottom w:val="0"/>
              <w:divBdr>
                <w:top w:val="none" w:sz="0" w:space="0" w:color="auto"/>
                <w:left w:val="none" w:sz="0" w:space="0" w:color="auto"/>
                <w:bottom w:val="none" w:sz="0" w:space="0" w:color="auto"/>
                <w:right w:val="none" w:sz="0" w:space="0" w:color="auto"/>
              </w:divBdr>
              <w:divsChild>
                <w:div w:id="2110008853">
                  <w:marLeft w:val="0"/>
                  <w:marRight w:val="0"/>
                  <w:marTop w:val="0"/>
                  <w:marBottom w:val="0"/>
                  <w:divBdr>
                    <w:top w:val="none" w:sz="0" w:space="0" w:color="auto"/>
                    <w:left w:val="none" w:sz="0" w:space="0" w:color="auto"/>
                    <w:bottom w:val="none" w:sz="0" w:space="0" w:color="auto"/>
                    <w:right w:val="none" w:sz="0" w:space="0" w:color="auto"/>
                  </w:divBdr>
                </w:div>
              </w:divsChild>
            </w:div>
            <w:div w:id="2137291954">
              <w:marLeft w:val="0"/>
              <w:marRight w:val="0"/>
              <w:marTop w:val="0"/>
              <w:marBottom w:val="0"/>
              <w:divBdr>
                <w:top w:val="none" w:sz="0" w:space="0" w:color="auto"/>
                <w:left w:val="none" w:sz="0" w:space="0" w:color="auto"/>
                <w:bottom w:val="none" w:sz="0" w:space="0" w:color="auto"/>
                <w:right w:val="none" w:sz="0" w:space="0" w:color="auto"/>
              </w:divBdr>
              <w:divsChild>
                <w:div w:id="208001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07919">
      <w:bodyDiv w:val="1"/>
      <w:marLeft w:val="0"/>
      <w:marRight w:val="0"/>
      <w:marTop w:val="0"/>
      <w:marBottom w:val="0"/>
      <w:divBdr>
        <w:top w:val="none" w:sz="0" w:space="0" w:color="auto"/>
        <w:left w:val="none" w:sz="0" w:space="0" w:color="auto"/>
        <w:bottom w:val="none" w:sz="0" w:space="0" w:color="auto"/>
        <w:right w:val="none" w:sz="0" w:space="0" w:color="auto"/>
      </w:divBdr>
      <w:divsChild>
        <w:div w:id="595138972">
          <w:marLeft w:val="0"/>
          <w:marRight w:val="0"/>
          <w:marTop w:val="0"/>
          <w:marBottom w:val="0"/>
          <w:divBdr>
            <w:top w:val="none" w:sz="0" w:space="0" w:color="auto"/>
            <w:left w:val="none" w:sz="0" w:space="0" w:color="auto"/>
            <w:bottom w:val="none" w:sz="0" w:space="0" w:color="auto"/>
            <w:right w:val="none" w:sz="0" w:space="0" w:color="auto"/>
          </w:divBdr>
          <w:divsChild>
            <w:div w:id="1345594772">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sChild>
            <w:div w:id="1492915079">
              <w:marLeft w:val="0"/>
              <w:marRight w:val="0"/>
              <w:marTop w:val="0"/>
              <w:marBottom w:val="0"/>
              <w:divBdr>
                <w:top w:val="none" w:sz="0" w:space="0" w:color="auto"/>
                <w:left w:val="none" w:sz="0" w:space="0" w:color="auto"/>
                <w:bottom w:val="none" w:sz="0" w:space="0" w:color="auto"/>
                <w:right w:val="none" w:sz="0" w:space="0" w:color="auto"/>
              </w:divBdr>
            </w:div>
          </w:divsChild>
        </w:div>
        <w:div w:id="987782786">
          <w:marLeft w:val="0"/>
          <w:marRight w:val="0"/>
          <w:marTop w:val="0"/>
          <w:marBottom w:val="0"/>
          <w:divBdr>
            <w:top w:val="none" w:sz="0" w:space="0" w:color="auto"/>
            <w:left w:val="none" w:sz="0" w:space="0" w:color="auto"/>
            <w:bottom w:val="none" w:sz="0" w:space="0" w:color="auto"/>
            <w:right w:val="none" w:sz="0" w:space="0" w:color="auto"/>
          </w:divBdr>
          <w:divsChild>
            <w:div w:id="814220613">
              <w:marLeft w:val="0"/>
              <w:marRight w:val="0"/>
              <w:marTop w:val="0"/>
              <w:marBottom w:val="0"/>
              <w:divBdr>
                <w:top w:val="none" w:sz="0" w:space="0" w:color="auto"/>
                <w:left w:val="none" w:sz="0" w:space="0" w:color="auto"/>
                <w:bottom w:val="none" w:sz="0" w:space="0" w:color="auto"/>
                <w:right w:val="none" w:sz="0" w:space="0" w:color="auto"/>
              </w:divBdr>
            </w:div>
          </w:divsChild>
        </w:div>
        <w:div w:id="1746610835">
          <w:marLeft w:val="0"/>
          <w:marRight w:val="0"/>
          <w:marTop w:val="0"/>
          <w:marBottom w:val="0"/>
          <w:divBdr>
            <w:top w:val="none" w:sz="0" w:space="0" w:color="auto"/>
            <w:left w:val="none" w:sz="0" w:space="0" w:color="auto"/>
            <w:bottom w:val="none" w:sz="0" w:space="0" w:color="auto"/>
            <w:right w:val="none" w:sz="0" w:space="0" w:color="auto"/>
          </w:divBdr>
          <w:divsChild>
            <w:div w:id="323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29205">
      <w:bodyDiv w:val="1"/>
      <w:marLeft w:val="0"/>
      <w:marRight w:val="0"/>
      <w:marTop w:val="0"/>
      <w:marBottom w:val="0"/>
      <w:divBdr>
        <w:top w:val="none" w:sz="0" w:space="0" w:color="auto"/>
        <w:left w:val="none" w:sz="0" w:space="0" w:color="auto"/>
        <w:bottom w:val="none" w:sz="0" w:space="0" w:color="auto"/>
        <w:right w:val="none" w:sz="0" w:space="0" w:color="auto"/>
      </w:divBdr>
      <w:divsChild>
        <w:div w:id="1490515332">
          <w:marLeft w:val="0"/>
          <w:marRight w:val="0"/>
          <w:marTop w:val="0"/>
          <w:marBottom w:val="0"/>
          <w:divBdr>
            <w:top w:val="none" w:sz="0" w:space="0" w:color="auto"/>
            <w:left w:val="none" w:sz="0" w:space="0" w:color="auto"/>
            <w:bottom w:val="none" w:sz="0" w:space="0" w:color="auto"/>
            <w:right w:val="none" w:sz="0" w:space="0" w:color="auto"/>
          </w:divBdr>
          <w:divsChild>
            <w:div w:id="1611088906">
              <w:marLeft w:val="0"/>
              <w:marRight w:val="0"/>
              <w:marTop w:val="0"/>
              <w:marBottom w:val="0"/>
              <w:divBdr>
                <w:top w:val="none" w:sz="0" w:space="0" w:color="auto"/>
                <w:left w:val="none" w:sz="0" w:space="0" w:color="auto"/>
                <w:bottom w:val="none" w:sz="0" w:space="0" w:color="auto"/>
                <w:right w:val="none" w:sz="0" w:space="0" w:color="auto"/>
              </w:divBdr>
            </w:div>
          </w:divsChild>
        </w:div>
        <w:div w:id="1770156084">
          <w:marLeft w:val="0"/>
          <w:marRight w:val="0"/>
          <w:marTop w:val="0"/>
          <w:marBottom w:val="0"/>
          <w:divBdr>
            <w:top w:val="none" w:sz="0" w:space="0" w:color="auto"/>
            <w:left w:val="none" w:sz="0" w:space="0" w:color="auto"/>
            <w:bottom w:val="none" w:sz="0" w:space="0" w:color="auto"/>
            <w:right w:val="none" w:sz="0" w:space="0" w:color="auto"/>
          </w:divBdr>
          <w:divsChild>
            <w:div w:id="92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79845">
      <w:bodyDiv w:val="1"/>
      <w:marLeft w:val="0"/>
      <w:marRight w:val="0"/>
      <w:marTop w:val="0"/>
      <w:marBottom w:val="0"/>
      <w:divBdr>
        <w:top w:val="none" w:sz="0" w:space="0" w:color="auto"/>
        <w:left w:val="none" w:sz="0" w:space="0" w:color="auto"/>
        <w:bottom w:val="none" w:sz="0" w:space="0" w:color="auto"/>
        <w:right w:val="none" w:sz="0" w:space="0" w:color="auto"/>
      </w:divBdr>
      <w:divsChild>
        <w:div w:id="58406626">
          <w:marLeft w:val="0"/>
          <w:marRight w:val="0"/>
          <w:marTop w:val="0"/>
          <w:marBottom w:val="0"/>
          <w:divBdr>
            <w:top w:val="none" w:sz="0" w:space="0" w:color="auto"/>
            <w:left w:val="none" w:sz="0" w:space="0" w:color="auto"/>
            <w:bottom w:val="none" w:sz="0" w:space="0" w:color="auto"/>
            <w:right w:val="none" w:sz="0" w:space="0" w:color="auto"/>
          </w:divBdr>
          <w:divsChild>
            <w:div w:id="1374158888">
              <w:marLeft w:val="0"/>
              <w:marRight w:val="0"/>
              <w:marTop w:val="0"/>
              <w:marBottom w:val="0"/>
              <w:divBdr>
                <w:top w:val="none" w:sz="0" w:space="0" w:color="auto"/>
                <w:left w:val="none" w:sz="0" w:space="0" w:color="auto"/>
                <w:bottom w:val="none" w:sz="0" w:space="0" w:color="auto"/>
                <w:right w:val="none" w:sz="0" w:space="0" w:color="auto"/>
              </w:divBdr>
            </w:div>
          </w:divsChild>
        </w:div>
        <w:div w:id="301891355">
          <w:marLeft w:val="0"/>
          <w:marRight w:val="0"/>
          <w:marTop w:val="0"/>
          <w:marBottom w:val="0"/>
          <w:divBdr>
            <w:top w:val="none" w:sz="0" w:space="0" w:color="auto"/>
            <w:left w:val="none" w:sz="0" w:space="0" w:color="auto"/>
            <w:bottom w:val="none" w:sz="0" w:space="0" w:color="auto"/>
            <w:right w:val="none" w:sz="0" w:space="0" w:color="auto"/>
          </w:divBdr>
          <w:divsChild>
            <w:div w:id="177931368">
              <w:marLeft w:val="0"/>
              <w:marRight w:val="0"/>
              <w:marTop w:val="0"/>
              <w:marBottom w:val="0"/>
              <w:divBdr>
                <w:top w:val="none" w:sz="0" w:space="0" w:color="auto"/>
                <w:left w:val="none" w:sz="0" w:space="0" w:color="auto"/>
                <w:bottom w:val="none" w:sz="0" w:space="0" w:color="auto"/>
                <w:right w:val="none" w:sz="0" w:space="0" w:color="auto"/>
              </w:divBdr>
            </w:div>
          </w:divsChild>
        </w:div>
        <w:div w:id="859006346">
          <w:marLeft w:val="0"/>
          <w:marRight w:val="0"/>
          <w:marTop w:val="0"/>
          <w:marBottom w:val="0"/>
          <w:divBdr>
            <w:top w:val="none" w:sz="0" w:space="0" w:color="auto"/>
            <w:left w:val="none" w:sz="0" w:space="0" w:color="auto"/>
            <w:bottom w:val="none" w:sz="0" w:space="0" w:color="auto"/>
            <w:right w:val="none" w:sz="0" w:space="0" w:color="auto"/>
          </w:divBdr>
          <w:divsChild>
            <w:div w:id="663315377">
              <w:marLeft w:val="0"/>
              <w:marRight w:val="0"/>
              <w:marTop w:val="0"/>
              <w:marBottom w:val="0"/>
              <w:divBdr>
                <w:top w:val="none" w:sz="0" w:space="0" w:color="auto"/>
                <w:left w:val="none" w:sz="0" w:space="0" w:color="auto"/>
                <w:bottom w:val="none" w:sz="0" w:space="0" w:color="auto"/>
                <w:right w:val="none" w:sz="0" w:space="0" w:color="auto"/>
              </w:divBdr>
            </w:div>
          </w:divsChild>
        </w:div>
        <w:div w:id="995718952">
          <w:marLeft w:val="0"/>
          <w:marRight w:val="0"/>
          <w:marTop w:val="0"/>
          <w:marBottom w:val="0"/>
          <w:divBdr>
            <w:top w:val="none" w:sz="0" w:space="0" w:color="auto"/>
            <w:left w:val="none" w:sz="0" w:space="0" w:color="auto"/>
            <w:bottom w:val="none" w:sz="0" w:space="0" w:color="auto"/>
            <w:right w:val="none" w:sz="0" w:space="0" w:color="auto"/>
          </w:divBdr>
          <w:divsChild>
            <w:div w:id="526413834">
              <w:marLeft w:val="0"/>
              <w:marRight w:val="0"/>
              <w:marTop w:val="0"/>
              <w:marBottom w:val="0"/>
              <w:divBdr>
                <w:top w:val="none" w:sz="0" w:space="0" w:color="auto"/>
                <w:left w:val="none" w:sz="0" w:space="0" w:color="auto"/>
                <w:bottom w:val="none" w:sz="0" w:space="0" w:color="auto"/>
                <w:right w:val="none" w:sz="0" w:space="0" w:color="auto"/>
              </w:divBdr>
              <w:divsChild>
                <w:div w:id="355887716">
                  <w:marLeft w:val="0"/>
                  <w:marRight w:val="0"/>
                  <w:marTop w:val="0"/>
                  <w:marBottom w:val="0"/>
                  <w:divBdr>
                    <w:top w:val="none" w:sz="0" w:space="0" w:color="auto"/>
                    <w:left w:val="none" w:sz="0" w:space="0" w:color="auto"/>
                    <w:bottom w:val="none" w:sz="0" w:space="0" w:color="auto"/>
                    <w:right w:val="none" w:sz="0" w:space="0" w:color="auto"/>
                  </w:divBdr>
                  <w:divsChild>
                    <w:div w:id="17355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52485">
              <w:marLeft w:val="0"/>
              <w:marRight w:val="0"/>
              <w:marTop w:val="0"/>
              <w:marBottom w:val="0"/>
              <w:divBdr>
                <w:top w:val="none" w:sz="0" w:space="0" w:color="auto"/>
                <w:left w:val="none" w:sz="0" w:space="0" w:color="auto"/>
                <w:bottom w:val="none" w:sz="0" w:space="0" w:color="auto"/>
                <w:right w:val="none" w:sz="0" w:space="0" w:color="auto"/>
              </w:divBdr>
              <w:divsChild>
                <w:div w:id="948583176">
                  <w:marLeft w:val="0"/>
                  <w:marRight w:val="0"/>
                  <w:marTop w:val="0"/>
                  <w:marBottom w:val="0"/>
                  <w:divBdr>
                    <w:top w:val="none" w:sz="0" w:space="0" w:color="auto"/>
                    <w:left w:val="none" w:sz="0" w:space="0" w:color="auto"/>
                    <w:bottom w:val="none" w:sz="0" w:space="0" w:color="auto"/>
                    <w:right w:val="none" w:sz="0" w:space="0" w:color="auto"/>
                  </w:divBdr>
                  <w:divsChild>
                    <w:div w:id="17133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37766">
              <w:marLeft w:val="0"/>
              <w:marRight w:val="0"/>
              <w:marTop w:val="0"/>
              <w:marBottom w:val="0"/>
              <w:divBdr>
                <w:top w:val="none" w:sz="0" w:space="0" w:color="auto"/>
                <w:left w:val="none" w:sz="0" w:space="0" w:color="auto"/>
                <w:bottom w:val="none" w:sz="0" w:space="0" w:color="auto"/>
                <w:right w:val="none" w:sz="0" w:space="0" w:color="auto"/>
              </w:divBdr>
              <w:divsChild>
                <w:div w:id="1397898907">
                  <w:marLeft w:val="0"/>
                  <w:marRight w:val="0"/>
                  <w:marTop w:val="0"/>
                  <w:marBottom w:val="0"/>
                  <w:divBdr>
                    <w:top w:val="none" w:sz="0" w:space="0" w:color="auto"/>
                    <w:left w:val="none" w:sz="0" w:space="0" w:color="auto"/>
                    <w:bottom w:val="none" w:sz="0" w:space="0" w:color="auto"/>
                    <w:right w:val="none" w:sz="0" w:space="0" w:color="auto"/>
                  </w:divBdr>
                  <w:divsChild>
                    <w:div w:id="17618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23039">
          <w:marLeft w:val="0"/>
          <w:marRight w:val="0"/>
          <w:marTop w:val="0"/>
          <w:marBottom w:val="0"/>
          <w:divBdr>
            <w:top w:val="none" w:sz="0" w:space="0" w:color="auto"/>
            <w:left w:val="none" w:sz="0" w:space="0" w:color="auto"/>
            <w:bottom w:val="none" w:sz="0" w:space="0" w:color="auto"/>
            <w:right w:val="none" w:sz="0" w:space="0" w:color="auto"/>
          </w:divBdr>
          <w:divsChild>
            <w:div w:id="1474518394">
              <w:marLeft w:val="0"/>
              <w:marRight w:val="0"/>
              <w:marTop w:val="0"/>
              <w:marBottom w:val="0"/>
              <w:divBdr>
                <w:top w:val="none" w:sz="0" w:space="0" w:color="auto"/>
                <w:left w:val="none" w:sz="0" w:space="0" w:color="auto"/>
                <w:bottom w:val="none" w:sz="0" w:space="0" w:color="auto"/>
                <w:right w:val="none" w:sz="0" w:space="0" w:color="auto"/>
              </w:divBdr>
            </w:div>
          </w:divsChild>
        </w:div>
        <w:div w:id="1268923928">
          <w:marLeft w:val="0"/>
          <w:marRight w:val="0"/>
          <w:marTop w:val="0"/>
          <w:marBottom w:val="0"/>
          <w:divBdr>
            <w:top w:val="none" w:sz="0" w:space="0" w:color="auto"/>
            <w:left w:val="none" w:sz="0" w:space="0" w:color="auto"/>
            <w:bottom w:val="none" w:sz="0" w:space="0" w:color="auto"/>
            <w:right w:val="none" w:sz="0" w:space="0" w:color="auto"/>
          </w:divBdr>
          <w:divsChild>
            <w:div w:id="1781877687">
              <w:marLeft w:val="0"/>
              <w:marRight w:val="0"/>
              <w:marTop w:val="0"/>
              <w:marBottom w:val="0"/>
              <w:divBdr>
                <w:top w:val="none" w:sz="0" w:space="0" w:color="auto"/>
                <w:left w:val="none" w:sz="0" w:space="0" w:color="auto"/>
                <w:bottom w:val="none" w:sz="0" w:space="0" w:color="auto"/>
                <w:right w:val="none" w:sz="0" w:space="0" w:color="auto"/>
              </w:divBdr>
            </w:div>
          </w:divsChild>
        </w:div>
        <w:div w:id="2039578467">
          <w:marLeft w:val="0"/>
          <w:marRight w:val="0"/>
          <w:marTop w:val="0"/>
          <w:marBottom w:val="0"/>
          <w:divBdr>
            <w:top w:val="none" w:sz="0" w:space="0" w:color="auto"/>
            <w:left w:val="none" w:sz="0" w:space="0" w:color="auto"/>
            <w:bottom w:val="none" w:sz="0" w:space="0" w:color="auto"/>
            <w:right w:val="none" w:sz="0" w:space="0" w:color="auto"/>
          </w:divBdr>
          <w:divsChild>
            <w:div w:id="13494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41998">
      <w:bodyDiv w:val="1"/>
      <w:marLeft w:val="0"/>
      <w:marRight w:val="0"/>
      <w:marTop w:val="0"/>
      <w:marBottom w:val="0"/>
      <w:divBdr>
        <w:top w:val="none" w:sz="0" w:space="0" w:color="auto"/>
        <w:left w:val="none" w:sz="0" w:space="0" w:color="auto"/>
        <w:bottom w:val="none" w:sz="0" w:space="0" w:color="auto"/>
        <w:right w:val="none" w:sz="0" w:space="0" w:color="auto"/>
      </w:divBdr>
      <w:divsChild>
        <w:div w:id="1413504198">
          <w:marLeft w:val="0"/>
          <w:marRight w:val="0"/>
          <w:marTop w:val="0"/>
          <w:marBottom w:val="0"/>
          <w:divBdr>
            <w:top w:val="none" w:sz="0" w:space="0" w:color="auto"/>
            <w:left w:val="none" w:sz="0" w:space="0" w:color="auto"/>
            <w:bottom w:val="none" w:sz="0" w:space="0" w:color="auto"/>
            <w:right w:val="none" w:sz="0" w:space="0" w:color="auto"/>
          </w:divBdr>
          <w:divsChild>
            <w:div w:id="65806061">
              <w:marLeft w:val="0"/>
              <w:marRight w:val="0"/>
              <w:marTop w:val="0"/>
              <w:marBottom w:val="0"/>
              <w:divBdr>
                <w:top w:val="none" w:sz="0" w:space="0" w:color="auto"/>
                <w:left w:val="none" w:sz="0" w:space="0" w:color="auto"/>
                <w:bottom w:val="none" w:sz="0" w:space="0" w:color="auto"/>
                <w:right w:val="none" w:sz="0" w:space="0" w:color="auto"/>
              </w:divBdr>
              <w:divsChild>
                <w:div w:id="103036265">
                  <w:marLeft w:val="0"/>
                  <w:marRight w:val="0"/>
                  <w:marTop w:val="0"/>
                  <w:marBottom w:val="0"/>
                  <w:divBdr>
                    <w:top w:val="none" w:sz="0" w:space="0" w:color="auto"/>
                    <w:left w:val="none" w:sz="0" w:space="0" w:color="auto"/>
                    <w:bottom w:val="none" w:sz="0" w:space="0" w:color="auto"/>
                    <w:right w:val="none" w:sz="0" w:space="0" w:color="auto"/>
                  </w:divBdr>
                </w:div>
              </w:divsChild>
            </w:div>
            <w:div w:id="103621566">
              <w:marLeft w:val="0"/>
              <w:marRight w:val="0"/>
              <w:marTop w:val="0"/>
              <w:marBottom w:val="0"/>
              <w:divBdr>
                <w:top w:val="none" w:sz="0" w:space="0" w:color="auto"/>
                <w:left w:val="none" w:sz="0" w:space="0" w:color="auto"/>
                <w:bottom w:val="none" w:sz="0" w:space="0" w:color="auto"/>
                <w:right w:val="none" w:sz="0" w:space="0" w:color="auto"/>
              </w:divBdr>
              <w:divsChild>
                <w:div w:id="482546903">
                  <w:marLeft w:val="0"/>
                  <w:marRight w:val="0"/>
                  <w:marTop w:val="0"/>
                  <w:marBottom w:val="0"/>
                  <w:divBdr>
                    <w:top w:val="none" w:sz="0" w:space="0" w:color="auto"/>
                    <w:left w:val="none" w:sz="0" w:space="0" w:color="auto"/>
                    <w:bottom w:val="none" w:sz="0" w:space="0" w:color="auto"/>
                    <w:right w:val="none" w:sz="0" w:space="0" w:color="auto"/>
                  </w:divBdr>
                  <w:divsChild>
                    <w:div w:id="7969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3846">
              <w:marLeft w:val="0"/>
              <w:marRight w:val="0"/>
              <w:marTop w:val="0"/>
              <w:marBottom w:val="0"/>
              <w:divBdr>
                <w:top w:val="none" w:sz="0" w:space="0" w:color="auto"/>
                <w:left w:val="none" w:sz="0" w:space="0" w:color="auto"/>
                <w:bottom w:val="none" w:sz="0" w:space="0" w:color="auto"/>
                <w:right w:val="none" w:sz="0" w:space="0" w:color="auto"/>
              </w:divBdr>
              <w:divsChild>
                <w:div w:id="1799299571">
                  <w:marLeft w:val="0"/>
                  <w:marRight w:val="0"/>
                  <w:marTop w:val="0"/>
                  <w:marBottom w:val="0"/>
                  <w:divBdr>
                    <w:top w:val="none" w:sz="0" w:space="0" w:color="auto"/>
                    <w:left w:val="none" w:sz="0" w:space="0" w:color="auto"/>
                    <w:bottom w:val="none" w:sz="0" w:space="0" w:color="auto"/>
                    <w:right w:val="none" w:sz="0" w:space="0" w:color="auto"/>
                  </w:divBdr>
                  <w:divsChild>
                    <w:div w:id="1490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50094">
          <w:marLeft w:val="0"/>
          <w:marRight w:val="0"/>
          <w:marTop w:val="0"/>
          <w:marBottom w:val="0"/>
          <w:divBdr>
            <w:top w:val="none" w:sz="0" w:space="0" w:color="auto"/>
            <w:left w:val="none" w:sz="0" w:space="0" w:color="auto"/>
            <w:bottom w:val="none" w:sz="0" w:space="0" w:color="auto"/>
            <w:right w:val="none" w:sz="0" w:space="0" w:color="auto"/>
          </w:divBdr>
          <w:divsChild>
            <w:div w:id="1446073399">
              <w:marLeft w:val="0"/>
              <w:marRight w:val="0"/>
              <w:marTop w:val="0"/>
              <w:marBottom w:val="0"/>
              <w:divBdr>
                <w:top w:val="none" w:sz="0" w:space="0" w:color="auto"/>
                <w:left w:val="none" w:sz="0" w:space="0" w:color="auto"/>
                <w:bottom w:val="none" w:sz="0" w:space="0" w:color="auto"/>
                <w:right w:val="none" w:sz="0" w:space="0" w:color="auto"/>
              </w:divBdr>
              <w:divsChild>
                <w:div w:id="10283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43274">
      <w:bodyDiv w:val="1"/>
      <w:marLeft w:val="0"/>
      <w:marRight w:val="0"/>
      <w:marTop w:val="0"/>
      <w:marBottom w:val="0"/>
      <w:divBdr>
        <w:top w:val="none" w:sz="0" w:space="0" w:color="auto"/>
        <w:left w:val="none" w:sz="0" w:space="0" w:color="auto"/>
        <w:bottom w:val="none" w:sz="0" w:space="0" w:color="auto"/>
        <w:right w:val="none" w:sz="0" w:space="0" w:color="auto"/>
      </w:divBdr>
      <w:divsChild>
        <w:div w:id="533813542">
          <w:marLeft w:val="0"/>
          <w:marRight w:val="0"/>
          <w:marTop w:val="0"/>
          <w:marBottom w:val="0"/>
          <w:divBdr>
            <w:top w:val="none" w:sz="0" w:space="0" w:color="auto"/>
            <w:left w:val="none" w:sz="0" w:space="0" w:color="auto"/>
            <w:bottom w:val="none" w:sz="0" w:space="0" w:color="auto"/>
            <w:right w:val="none" w:sz="0" w:space="0" w:color="auto"/>
          </w:divBdr>
          <w:divsChild>
            <w:div w:id="875042792">
              <w:marLeft w:val="0"/>
              <w:marRight w:val="0"/>
              <w:marTop w:val="0"/>
              <w:marBottom w:val="0"/>
              <w:divBdr>
                <w:top w:val="none" w:sz="0" w:space="0" w:color="auto"/>
                <w:left w:val="none" w:sz="0" w:space="0" w:color="auto"/>
                <w:bottom w:val="none" w:sz="0" w:space="0" w:color="auto"/>
                <w:right w:val="none" w:sz="0" w:space="0" w:color="auto"/>
              </w:divBdr>
            </w:div>
          </w:divsChild>
        </w:div>
        <w:div w:id="1038974746">
          <w:marLeft w:val="0"/>
          <w:marRight w:val="0"/>
          <w:marTop w:val="0"/>
          <w:marBottom w:val="0"/>
          <w:divBdr>
            <w:top w:val="none" w:sz="0" w:space="0" w:color="auto"/>
            <w:left w:val="none" w:sz="0" w:space="0" w:color="auto"/>
            <w:bottom w:val="none" w:sz="0" w:space="0" w:color="auto"/>
            <w:right w:val="none" w:sz="0" w:space="0" w:color="auto"/>
          </w:divBdr>
          <w:divsChild>
            <w:div w:id="951859420">
              <w:marLeft w:val="0"/>
              <w:marRight w:val="0"/>
              <w:marTop w:val="0"/>
              <w:marBottom w:val="0"/>
              <w:divBdr>
                <w:top w:val="none" w:sz="0" w:space="0" w:color="auto"/>
                <w:left w:val="none" w:sz="0" w:space="0" w:color="auto"/>
                <w:bottom w:val="none" w:sz="0" w:space="0" w:color="auto"/>
                <w:right w:val="none" w:sz="0" w:space="0" w:color="auto"/>
              </w:divBdr>
              <w:divsChild>
                <w:div w:id="1515420739">
                  <w:marLeft w:val="0"/>
                  <w:marRight w:val="0"/>
                  <w:marTop w:val="0"/>
                  <w:marBottom w:val="0"/>
                  <w:divBdr>
                    <w:top w:val="none" w:sz="0" w:space="0" w:color="auto"/>
                    <w:left w:val="none" w:sz="0" w:space="0" w:color="auto"/>
                    <w:bottom w:val="none" w:sz="0" w:space="0" w:color="auto"/>
                    <w:right w:val="none" w:sz="0" w:space="0" w:color="auto"/>
                  </w:divBdr>
                  <w:divsChild>
                    <w:div w:id="11333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6834">
              <w:marLeft w:val="0"/>
              <w:marRight w:val="0"/>
              <w:marTop w:val="0"/>
              <w:marBottom w:val="0"/>
              <w:divBdr>
                <w:top w:val="none" w:sz="0" w:space="0" w:color="auto"/>
                <w:left w:val="none" w:sz="0" w:space="0" w:color="auto"/>
                <w:bottom w:val="none" w:sz="0" w:space="0" w:color="auto"/>
                <w:right w:val="none" w:sz="0" w:space="0" w:color="auto"/>
              </w:divBdr>
              <w:divsChild>
                <w:div w:id="108285003">
                  <w:marLeft w:val="0"/>
                  <w:marRight w:val="0"/>
                  <w:marTop w:val="0"/>
                  <w:marBottom w:val="0"/>
                  <w:divBdr>
                    <w:top w:val="none" w:sz="0" w:space="0" w:color="auto"/>
                    <w:left w:val="none" w:sz="0" w:space="0" w:color="auto"/>
                    <w:bottom w:val="none" w:sz="0" w:space="0" w:color="auto"/>
                    <w:right w:val="none" w:sz="0" w:space="0" w:color="auto"/>
                  </w:divBdr>
                  <w:divsChild>
                    <w:div w:id="16943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48160">
          <w:marLeft w:val="0"/>
          <w:marRight w:val="0"/>
          <w:marTop w:val="0"/>
          <w:marBottom w:val="0"/>
          <w:divBdr>
            <w:top w:val="none" w:sz="0" w:space="0" w:color="auto"/>
            <w:left w:val="none" w:sz="0" w:space="0" w:color="auto"/>
            <w:bottom w:val="none" w:sz="0" w:space="0" w:color="auto"/>
            <w:right w:val="none" w:sz="0" w:space="0" w:color="auto"/>
          </w:divBdr>
          <w:divsChild>
            <w:div w:id="1034379330">
              <w:marLeft w:val="0"/>
              <w:marRight w:val="0"/>
              <w:marTop w:val="0"/>
              <w:marBottom w:val="0"/>
              <w:divBdr>
                <w:top w:val="none" w:sz="0" w:space="0" w:color="auto"/>
                <w:left w:val="none" w:sz="0" w:space="0" w:color="auto"/>
                <w:bottom w:val="none" w:sz="0" w:space="0" w:color="auto"/>
                <w:right w:val="none" w:sz="0" w:space="0" w:color="auto"/>
              </w:divBdr>
            </w:div>
          </w:divsChild>
        </w:div>
        <w:div w:id="1965501621">
          <w:marLeft w:val="0"/>
          <w:marRight w:val="0"/>
          <w:marTop w:val="0"/>
          <w:marBottom w:val="0"/>
          <w:divBdr>
            <w:top w:val="none" w:sz="0" w:space="0" w:color="auto"/>
            <w:left w:val="none" w:sz="0" w:space="0" w:color="auto"/>
            <w:bottom w:val="none" w:sz="0" w:space="0" w:color="auto"/>
            <w:right w:val="none" w:sz="0" w:space="0" w:color="auto"/>
          </w:divBdr>
          <w:divsChild>
            <w:div w:id="1862012588">
              <w:marLeft w:val="0"/>
              <w:marRight w:val="0"/>
              <w:marTop w:val="0"/>
              <w:marBottom w:val="0"/>
              <w:divBdr>
                <w:top w:val="none" w:sz="0" w:space="0" w:color="auto"/>
                <w:left w:val="none" w:sz="0" w:space="0" w:color="auto"/>
                <w:bottom w:val="none" w:sz="0" w:space="0" w:color="auto"/>
                <w:right w:val="none" w:sz="0" w:space="0" w:color="auto"/>
              </w:divBdr>
            </w:div>
          </w:divsChild>
        </w:div>
        <w:div w:id="2137218916">
          <w:marLeft w:val="0"/>
          <w:marRight w:val="0"/>
          <w:marTop w:val="0"/>
          <w:marBottom w:val="0"/>
          <w:divBdr>
            <w:top w:val="none" w:sz="0" w:space="0" w:color="auto"/>
            <w:left w:val="none" w:sz="0" w:space="0" w:color="auto"/>
            <w:bottom w:val="none" w:sz="0" w:space="0" w:color="auto"/>
            <w:right w:val="none" w:sz="0" w:space="0" w:color="auto"/>
          </w:divBdr>
          <w:divsChild>
            <w:div w:id="120529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27736">
      <w:bodyDiv w:val="1"/>
      <w:marLeft w:val="0"/>
      <w:marRight w:val="0"/>
      <w:marTop w:val="0"/>
      <w:marBottom w:val="0"/>
      <w:divBdr>
        <w:top w:val="none" w:sz="0" w:space="0" w:color="auto"/>
        <w:left w:val="none" w:sz="0" w:space="0" w:color="auto"/>
        <w:bottom w:val="none" w:sz="0" w:space="0" w:color="auto"/>
        <w:right w:val="none" w:sz="0" w:space="0" w:color="auto"/>
      </w:divBdr>
      <w:divsChild>
        <w:div w:id="139738284">
          <w:marLeft w:val="0"/>
          <w:marRight w:val="0"/>
          <w:marTop w:val="0"/>
          <w:marBottom w:val="0"/>
          <w:divBdr>
            <w:top w:val="none" w:sz="0" w:space="0" w:color="auto"/>
            <w:left w:val="none" w:sz="0" w:space="0" w:color="auto"/>
            <w:bottom w:val="none" w:sz="0" w:space="0" w:color="auto"/>
            <w:right w:val="none" w:sz="0" w:space="0" w:color="auto"/>
          </w:divBdr>
          <w:divsChild>
            <w:div w:id="1830245339">
              <w:marLeft w:val="0"/>
              <w:marRight w:val="0"/>
              <w:marTop w:val="0"/>
              <w:marBottom w:val="0"/>
              <w:divBdr>
                <w:top w:val="none" w:sz="0" w:space="0" w:color="auto"/>
                <w:left w:val="none" w:sz="0" w:space="0" w:color="auto"/>
                <w:bottom w:val="none" w:sz="0" w:space="0" w:color="auto"/>
                <w:right w:val="none" w:sz="0" w:space="0" w:color="auto"/>
              </w:divBdr>
            </w:div>
          </w:divsChild>
        </w:div>
        <w:div w:id="400253661">
          <w:marLeft w:val="0"/>
          <w:marRight w:val="0"/>
          <w:marTop w:val="0"/>
          <w:marBottom w:val="0"/>
          <w:divBdr>
            <w:top w:val="none" w:sz="0" w:space="0" w:color="auto"/>
            <w:left w:val="none" w:sz="0" w:space="0" w:color="auto"/>
            <w:bottom w:val="none" w:sz="0" w:space="0" w:color="auto"/>
            <w:right w:val="none" w:sz="0" w:space="0" w:color="auto"/>
          </w:divBdr>
          <w:divsChild>
            <w:div w:id="33727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6015">
      <w:bodyDiv w:val="1"/>
      <w:marLeft w:val="0"/>
      <w:marRight w:val="0"/>
      <w:marTop w:val="0"/>
      <w:marBottom w:val="0"/>
      <w:divBdr>
        <w:top w:val="none" w:sz="0" w:space="0" w:color="auto"/>
        <w:left w:val="none" w:sz="0" w:space="0" w:color="auto"/>
        <w:bottom w:val="none" w:sz="0" w:space="0" w:color="auto"/>
        <w:right w:val="none" w:sz="0" w:space="0" w:color="auto"/>
      </w:divBdr>
      <w:divsChild>
        <w:div w:id="798300220">
          <w:marLeft w:val="0"/>
          <w:marRight w:val="0"/>
          <w:marTop w:val="224"/>
          <w:marBottom w:val="0"/>
          <w:divBdr>
            <w:top w:val="none" w:sz="0" w:space="0" w:color="auto"/>
            <w:left w:val="none" w:sz="0" w:space="0" w:color="auto"/>
            <w:bottom w:val="none" w:sz="0" w:space="0" w:color="auto"/>
            <w:right w:val="none" w:sz="0" w:space="0" w:color="auto"/>
          </w:divBdr>
          <w:divsChild>
            <w:div w:id="1121267419">
              <w:marLeft w:val="0"/>
              <w:marRight w:val="0"/>
              <w:marTop w:val="0"/>
              <w:marBottom w:val="0"/>
              <w:divBdr>
                <w:top w:val="none" w:sz="0" w:space="0" w:color="auto"/>
                <w:left w:val="none" w:sz="0" w:space="0" w:color="auto"/>
                <w:bottom w:val="none" w:sz="0" w:space="0" w:color="auto"/>
                <w:right w:val="none" w:sz="0" w:space="0" w:color="auto"/>
              </w:divBdr>
            </w:div>
          </w:divsChild>
        </w:div>
        <w:div w:id="1159543266">
          <w:marLeft w:val="0"/>
          <w:marRight w:val="0"/>
          <w:marTop w:val="224"/>
          <w:marBottom w:val="0"/>
          <w:divBdr>
            <w:top w:val="none" w:sz="0" w:space="0" w:color="auto"/>
            <w:left w:val="none" w:sz="0" w:space="0" w:color="auto"/>
            <w:bottom w:val="none" w:sz="0" w:space="0" w:color="auto"/>
            <w:right w:val="none" w:sz="0" w:space="0" w:color="auto"/>
          </w:divBdr>
          <w:divsChild>
            <w:div w:id="1683974794">
              <w:marLeft w:val="0"/>
              <w:marRight w:val="0"/>
              <w:marTop w:val="0"/>
              <w:marBottom w:val="0"/>
              <w:divBdr>
                <w:top w:val="none" w:sz="0" w:space="0" w:color="auto"/>
                <w:left w:val="none" w:sz="0" w:space="0" w:color="auto"/>
                <w:bottom w:val="none" w:sz="0" w:space="0" w:color="auto"/>
                <w:right w:val="none" w:sz="0" w:space="0" w:color="auto"/>
              </w:divBdr>
            </w:div>
          </w:divsChild>
        </w:div>
        <w:div w:id="1566140789">
          <w:marLeft w:val="0"/>
          <w:marRight w:val="0"/>
          <w:marTop w:val="224"/>
          <w:marBottom w:val="0"/>
          <w:divBdr>
            <w:top w:val="none" w:sz="0" w:space="0" w:color="auto"/>
            <w:left w:val="none" w:sz="0" w:space="0" w:color="auto"/>
            <w:bottom w:val="none" w:sz="0" w:space="0" w:color="auto"/>
            <w:right w:val="none" w:sz="0" w:space="0" w:color="auto"/>
          </w:divBdr>
          <w:divsChild>
            <w:div w:id="8513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8960">
      <w:bodyDiv w:val="1"/>
      <w:marLeft w:val="0"/>
      <w:marRight w:val="0"/>
      <w:marTop w:val="0"/>
      <w:marBottom w:val="0"/>
      <w:divBdr>
        <w:top w:val="none" w:sz="0" w:space="0" w:color="auto"/>
        <w:left w:val="none" w:sz="0" w:space="0" w:color="auto"/>
        <w:bottom w:val="none" w:sz="0" w:space="0" w:color="auto"/>
        <w:right w:val="none" w:sz="0" w:space="0" w:color="auto"/>
      </w:divBdr>
      <w:divsChild>
        <w:div w:id="232014037">
          <w:marLeft w:val="0"/>
          <w:marRight w:val="0"/>
          <w:marTop w:val="0"/>
          <w:marBottom w:val="0"/>
          <w:divBdr>
            <w:top w:val="none" w:sz="0" w:space="0" w:color="auto"/>
            <w:left w:val="none" w:sz="0" w:space="0" w:color="auto"/>
            <w:bottom w:val="none" w:sz="0" w:space="0" w:color="auto"/>
            <w:right w:val="none" w:sz="0" w:space="0" w:color="auto"/>
          </w:divBdr>
          <w:divsChild>
            <w:div w:id="879125735">
              <w:marLeft w:val="0"/>
              <w:marRight w:val="0"/>
              <w:marTop w:val="0"/>
              <w:marBottom w:val="0"/>
              <w:divBdr>
                <w:top w:val="none" w:sz="0" w:space="0" w:color="auto"/>
                <w:left w:val="none" w:sz="0" w:space="0" w:color="auto"/>
                <w:bottom w:val="none" w:sz="0" w:space="0" w:color="auto"/>
                <w:right w:val="none" w:sz="0" w:space="0" w:color="auto"/>
              </w:divBdr>
            </w:div>
          </w:divsChild>
        </w:div>
        <w:div w:id="897790424">
          <w:marLeft w:val="0"/>
          <w:marRight w:val="0"/>
          <w:marTop w:val="0"/>
          <w:marBottom w:val="0"/>
          <w:divBdr>
            <w:top w:val="none" w:sz="0" w:space="0" w:color="auto"/>
            <w:left w:val="none" w:sz="0" w:space="0" w:color="auto"/>
            <w:bottom w:val="none" w:sz="0" w:space="0" w:color="auto"/>
            <w:right w:val="none" w:sz="0" w:space="0" w:color="auto"/>
          </w:divBdr>
          <w:divsChild>
            <w:div w:id="1329477777">
              <w:marLeft w:val="0"/>
              <w:marRight w:val="0"/>
              <w:marTop w:val="0"/>
              <w:marBottom w:val="0"/>
              <w:divBdr>
                <w:top w:val="none" w:sz="0" w:space="0" w:color="auto"/>
                <w:left w:val="none" w:sz="0" w:space="0" w:color="auto"/>
                <w:bottom w:val="none" w:sz="0" w:space="0" w:color="auto"/>
                <w:right w:val="none" w:sz="0" w:space="0" w:color="auto"/>
              </w:divBdr>
            </w:div>
          </w:divsChild>
        </w:div>
        <w:div w:id="1494029338">
          <w:marLeft w:val="0"/>
          <w:marRight w:val="0"/>
          <w:marTop w:val="0"/>
          <w:marBottom w:val="0"/>
          <w:divBdr>
            <w:top w:val="none" w:sz="0" w:space="0" w:color="auto"/>
            <w:left w:val="none" w:sz="0" w:space="0" w:color="auto"/>
            <w:bottom w:val="none" w:sz="0" w:space="0" w:color="auto"/>
            <w:right w:val="none" w:sz="0" w:space="0" w:color="auto"/>
          </w:divBdr>
          <w:divsChild>
            <w:div w:id="11705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95328">
      <w:bodyDiv w:val="1"/>
      <w:marLeft w:val="0"/>
      <w:marRight w:val="0"/>
      <w:marTop w:val="0"/>
      <w:marBottom w:val="0"/>
      <w:divBdr>
        <w:top w:val="none" w:sz="0" w:space="0" w:color="auto"/>
        <w:left w:val="none" w:sz="0" w:space="0" w:color="auto"/>
        <w:bottom w:val="none" w:sz="0" w:space="0" w:color="auto"/>
        <w:right w:val="none" w:sz="0" w:space="0" w:color="auto"/>
      </w:divBdr>
      <w:divsChild>
        <w:div w:id="764375656">
          <w:marLeft w:val="0"/>
          <w:marRight w:val="0"/>
          <w:marTop w:val="0"/>
          <w:marBottom w:val="0"/>
          <w:divBdr>
            <w:top w:val="none" w:sz="0" w:space="0" w:color="auto"/>
            <w:left w:val="none" w:sz="0" w:space="0" w:color="auto"/>
            <w:bottom w:val="none" w:sz="0" w:space="0" w:color="auto"/>
            <w:right w:val="none" w:sz="0" w:space="0" w:color="auto"/>
          </w:divBdr>
          <w:divsChild>
            <w:div w:id="131020442">
              <w:marLeft w:val="0"/>
              <w:marRight w:val="0"/>
              <w:marTop w:val="0"/>
              <w:marBottom w:val="0"/>
              <w:divBdr>
                <w:top w:val="none" w:sz="0" w:space="0" w:color="auto"/>
                <w:left w:val="none" w:sz="0" w:space="0" w:color="auto"/>
                <w:bottom w:val="none" w:sz="0" w:space="0" w:color="auto"/>
                <w:right w:val="none" w:sz="0" w:space="0" w:color="auto"/>
              </w:divBdr>
              <w:divsChild>
                <w:div w:id="142357935">
                  <w:marLeft w:val="0"/>
                  <w:marRight w:val="0"/>
                  <w:marTop w:val="0"/>
                  <w:marBottom w:val="0"/>
                  <w:divBdr>
                    <w:top w:val="none" w:sz="0" w:space="0" w:color="auto"/>
                    <w:left w:val="none" w:sz="0" w:space="0" w:color="auto"/>
                    <w:bottom w:val="none" w:sz="0" w:space="0" w:color="auto"/>
                    <w:right w:val="none" w:sz="0" w:space="0" w:color="auto"/>
                  </w:divBdr>
                  <w:divsChild>
                    <w:div w:id="10516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0561">
              <w:marLeft w:val="0"/>
              <w:marRight w:val="0"/>
              <w:marTop w:val="0"/>
              <w:marBottom w:val="0"/>
              <w:divBdr>
                <w:top w:val="none" w:sz="0" w:space="0" w:color="auto"/>
                <w:left w:val="none" w:sz="0" w:space="0" w:color="auto"/>
                <w:bottom w:val="none" w:sz="0" w:space="0" w:color="auto"/>
                <w:right w:val="none" w:sz="0" w:space="0" w:color="auto"/>
              </w:divBdr>
              <w:divsChild>
                <w:div w:id="419329912">
                  <w:marLeft w:val="0"/>
                  <w:marRight w:val="0"/>
                  <w:marTop w:val="0"/>
                  <w:marBottom w:val="0"/>
                  <w:divBdr>
                    <w:top w:val="none" w:sz="0" w:space="0" w:color="auto"/>
                    <w:left w:val="none" w:sz="0" w:space="0" w:color="auto"/>
                    <w:bottom w:val="none" w:sz="0" w:space="0" w:color="auto"/>
                    <w:right w:val="none" w:sz="0" w:space="0" w:color="auto"/>
                  </w:divBdr>
                  <w:divsChild>
                    <w:div w:id="14993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94444">
          <w:marLeft w:val="0"/>
          <w:marRight w:val="0"/>
          <w:marTop w:val="0"/>
          <w:marBottom w:val="0"/>
          <w:divBdr>
            <w:top w:val="none" w:sz="0" w:space="0" w:color="auto"/>
            <w:left w:val="none" w:sz="0" w:space="0" w:color="auto"/>
            <w:bottom w:val="none" w:sz="0" w:space="0" w:color="auto"/>
            <w:right w:val="none" w:sz="0" w:space="0" w:color="auto"/>
          </w:divBdr>
          <w:divsChild>
            <w:div w:id="492992113">
              <w:marLeft w:val="0"/>
              <w:marRight w:val="0"/>
              <w:marTop w:val="0"/>
              <w:marBottom w:val="0"/>
              <w:divBdr>
                <w:top w:val="none" w:sz="0" w:space="0" w:color="auto"/>
                <w:left w:val="none" w:sz="0" w:space="0" w:color="auto"/>
                <w:bottom w:val="none" w:sz="0" w:space="0" w:color="auto"/>
                <w:right w:val="none" w:sz="0" w:space="0" w:color="auto"/>
              </w:divBdr>
              <w:divsChild>
                <w:div w:id="1156922139">
                  <w:marLeft w:val="0"/>
                  <w:marRight w:val="0"/>
                  <w:marTop w:val="0"/>
                  <w:marBottom w:val="0"/>
                  <w:divBdr>
                    <w:top w:val="none" w:sz="0" w:space="0" w:color="auto"/>
                    <w:left w:val="none" w:sz="0" w:space="0" w:color="auto"/>
                    <w:bottom w:val="none" w:sz="0" w:space="0" w:color="auto"/>
                    <w:right w:val="none" w:sz="0" w:space="0" w:color="auto"/>
                  </w:divBdr>
                  <w:divsChild>
                    <w:div w:id="354430524">
                      <w:marLeft w:val="0"/>
                      <w:marRight w:val="0"/>
                      <w:marTop w:val="0"/>
                      <w:marBottom w:val="0"/>
                      <w:divBdr>
                        <w:top w:val="none" w:sz="0" w:space="0" w:color="auto"/>
                        <w:left w:val="none" w:sz="0" w:space="0" w:color="auto"/>
                        <w:bottom w:val="none" w:sz="0" w:space="0" w:color="auto"/>
                        <w:right w:val="none" w:sz="0" w:space="0" w:color="auto"/>
                      </w:divBdr>
                      <w:divsChild>
                        <w:div w:id="181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3988">
                  <w:marLeft w:val="0"/>
                  <w:marRight w:val="0"/>
                  <w:marTop w:val="0"/>
                  <w:marBottom w:val="0"/>
                  <w:divBdr>
                    <w:top w:val="none" w:sz="0" w:space="0" w:color="auto"/>
                    <w:left w:val="none" w:sz="0" w:space="0" w:color="auto"/>
                    <w:bottom w:val="none" w:sz="0" w:space="0" w:color="auto"/>
                    <w:right w:val="none" w:sz="0" w:space="0" w:color="auto"/>
                  </w:divBdr>
                  <w:divsChild>
                    <w:div w:id="805005415">
                      <w:marLeft w:val="0"/>
                      <w:marRight w:val="0"/>
                      <w:marTop w:val="0"/>
                      <w:marBottom w:val="0"/>
                      <w:divBdr>
                        <w:top w:val="none" w:sz="0" w:space="0" w:color="auto"/>
                        <w:left w:val="none" w:sz="0" w:space="0" w:color="auto"/>
                        <w:bottom w:val="none" w:sz="0" w:space="0" w:color="auto"/>
                        <w:right w:val="none" w:sz="0" w:space="0" w:color="auto"/>
                      </w:divBdr>
                      <w:divsChild>
                        <w:div w:id="50655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536763">
              <w:marLeft w:val="0"/>
              <w:marRight w:val="0"/>
              <w:marTop w:val="0"/>
              <w:marBottom w:val="0"/>
              <w:divBdr>
                <w:top w:val="none" w:sz="0" w:space="0" w:color="auto"/>
                <w:left w:val="none" w:sz="0" w:space="0" w:color="auto"/>
                <w:bottom w:val="none" w:sz="0" w:space="0" w:color="auto"/>
                <w:right w:val="none" w:sz="0" w:space="0" w:color="auto"/>
              </w:divBdr>
              <w:divsChild>
                <w:div w:id="19271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10684">
          <w:marLeft w:val="0"/>
          <w:marRight w:val="0"/>
          <w:marTop w:val="0"/>
          <w:marBottom w:val="0"/>
          <w:divBdr>
            <w:top w:val="none" w:sz="0" w:space="0" w:color="auto"/>
            <w:left w:val="none" w:sz="0" w:space="0" w:color="auto"/>
            <w:bottom w:val="none" w:sz="0" w:space="0" w:color="auto"/>
            <w:right w:val="none" w:sz="0" w:space="0" w:color="auto"/>
          </w:divBdr>
          <w:divsChild>
            <w:div w:id="22191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7292">
      <w:bodyDiv w:val="1"/>
      <w:marLeft w:val="0"/>
      <w:marRight w:val="0"/>
      <w:marTop w:val="0"/>
      <w:marBottom w:val="0"/>
      <w:divBdr>
        <w:top w:val="none" w:sz="0" w:space="0" w:color="auto"/>
        <w:left w:val="none" w:sz="0" w:space="0" w:color="auto"/>
        <w:bottom w:val="none" w:sz="0" w:space="0" w:color="auto"/>
        <w:right w:val="none" w:sz="0" w:space="0" w:color="auto"/>
      </w:divBdr>
      <w:divsChild>
        <w:div w:id="361590173">
          <w:marLeft w:val="0"/>
          <w:marRight w:val="0"/>
          <w:marTop w:val="0"/>
          <w:marBottom w:val="0"/>
          <w:divBdr>
            <w:top w:val="none" w:sz="0" w:space="0" w:color="auto"/>
            <w:left w:val="none" w:sz="0" w:space="0" w:color="auto"/>
            <w:bottom w:val="none" w:sz="0" w:space="0" w:color="auto"/>
            <w:right w:val="none" w:sz="0" w:space="0" w:color="auto"/>
          </w:divBdr>
          <w:divsChild>
            <w:div w:id="2518169">
              <w:marLeft w:val="0"/>
              <w:marRight w:val="0"/>
              <w:marTop w:val="0"/>
              <w:marBottom w:val="0"/>
              <w:divBdr>
                <w:top w:val="none" w:sz="0" w:space="0" w:color="auto"/>
                <w:left w:val="none" w:sz="0" w:space="0" w:color="auto"/>
                <w:bottom w:val="none" w:sz="0" w:space="0" w:color="auto"/>
                <w:right w:val="none" w:sz="0" w:space="0" w:color="auto"/>
              </w:divBdr>
              <w:divsChild>
                <w:div w:id="1922329541">
                  <w:marLeft w:val="0"/>
                  <w:marRight w:val="0"/>
                  <w:marTop w:val="0"/>
                  <w:marBottom w:val="0"/>
                  <w:divBdr>
                    <w:top w:val="none" w:sz="0" w:space="0" w:color="auto"/>
                    <w:left w:val="none" w:sz="0" w:space="0" w:color="auto"/>
                    <w:bottom w:val="none" w:sz="0" w:space="0" w:color="auto"/>
                    <w:right w:val="none" w:sz="0" w:space="0" w:color="auto"/>
                  </w:divBdr>
                  <w:divsChild>
                    <w:div w:id="143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76501">
              <w:marLeft w:val="0"/>
              <w:marRight w:val="0"/>
              <w:marTop w:val="0"/>
              <w:marBottom w:val="0"/>
              <w:divBdr>
                <w:top w:val="none" w:sz="0" w:space="0" w:color="auto"/>
                <w:left w:val="none" w:sz="0" w:space="0" w:color="auto"/>
                <w:bottom w:val="none" w:sz="0" w:space="0" w:color="auto"/>
                <w:right w:val="none" w:sz="0" w:space="0" w:color="auto"/>
              </w:divBdr>
              <w:divsChild>
                <w:div w:id="1101726564">
                  <w:marLeft w:val="0"/>
                  <w:marRight w:val="0"/>
                  <w:marTop w:val="0"/>
                  <w:marBottom w:val="0"/>
                  <w:divBdr>
                    <w:top w:val="none" w:sz="0" w:space="0" w:color="auto"/>
                    <w:left w:val="none" w:sz="0" w:space="0" w:color="auto"/>
                    <w:bottom w:val="none" w:sz="0" w:space="0" w:color="auto"/>
                    <w:right w:val="none" w:sz="0" w:space="0" w:color="auto"/>
                  </w:divBdr>
                  <w:divsChild>
                    <w:div w:id="1825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40542">
              <w:marLeft w:val="0"/>
              <w:marRight w:val="0"/>
              <w:marTop w:val="0"/>
              <w:marBottom w:val="0"/>
              <w:divBdr>
                <w:top w:val="none" w:sz="0" w:space="0" w:color="auto"/>
                <w:left w:val="none" w:sz="0" w:space="0" w:color="auto"/>
                <w:bottom w:val="none" w:sz="0" w:space="0" w:color="auto"/>
                <w:right w:val="none" w:sz="0" w:space="0" w:color="auto"/>
              </w:divBdr>
              <w:divsChild>
                <w:div w:id="1423991086">
                  <w:marLeft w:val="0"/>
                  <w:marRight w:val="0"/>
                  <w:marTop w:val="0"/>
                  <w:marBottom w:val="0"/>
                  <w:divBdr>
                    <w:top w:val="none" w:sz="0" w:space="0" w:color="auto"/>
                    <w:left w:val="none" w:sz="0" w:space="0" w:color="auto"/>
                    <w:bottom w:val="none" w:sz="0" w:space="0" w:color="auto"/>
                    <w:right w:val="none" w:sz="0" w:space="0" w:color="auto"/>
                  </w:divBdr>
                  <w:divsChild>
                    <w:div w:id="12799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94477">
          <w:marLeft w:val="0"/>
          <w:marRight w:val="0"/>
          <w:marTop w:val="0"/>
          <w:marBottom w:val="0"/>
          <w:divBdr>
            <w:top w:val="none" w:sz="0" w:space="0" w:color="auto"/>
            <w:left w:val="none" w:sz="0" w:space="0" w:color="auto"/>
            <w:bottom w:val="none" w:sz="0" w:space="0" w:color="auto"/>
            <w:right w:val="none" w:sz="0" w:space="0" w:color="auto"/>
          </w:divBdr>
          <w:divsChild>
            <w:div w:id="905994121">
              <w:marLeft w:val="0"/>
              <w:marRight w:val="0"/>
              <w:marTop w:val="0"/>
              <w:marBottom w:val="0"/>
              <w:divBdr>
                <w:top w:val="none" w:sz="0" w:space="0" w:color="auto"/>
                <w:left w:val="none" w:sz="0" w:space="0" w:color="auto"/>
                <w:bottom w:val="none" w:sz="0" w:space="0" w:color="auto"/>
                <w:right w:val="none" w:sz="0" w:space="0" w:color="auto"/>
              </w:divBdr>
            </w:div>
          </w:divsChild>
        </w:div>
        <w:div w:id="714278449">
          <w:marLeft w:val="0"/>
          <w:marRight w:val="0"/>
          <w:marTop w:val="0"/>
          <w:marBottom w:val="0"/>
          <w:divBdr>
            <w:top w:val="none" w:sz="0" w:space="0" w:color="auto"/>
            <w:left w:val="none" w:sz="0" w:space="0" w:color="auto"/>
            <w:bottom w:val="none" w:sz="0" w:space="0" w:color="auto"/>
            <w:right w:val="none" w:sz="0" w:space="0" w:color="auto"/>
          </w:divBdr>
          <w:divsChild>
            <w:div w:id="9999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12221">
      <w:bodyDiv w:val="1"/>
      <w:marLeft w:val="0"/>
      <w:marRight w:val="0"/>
      <w:marTop w:val="0"/>
      <w:marBottom w:val="0"/>
      <w:divBdr>
        <w:top w:val="none" w:sz="0" w:space="0" w:color="auto"/>
        <w:left w:val="none" w:sz="0" w:space="0" w:color="auto"/>
        <w:bottom w:val="none" w:sz="0" w:space="0" w:color="auto"/>
        <w:right w:val="none" w:sz="0" w:space="0" w:color="auto"/>
      </w:divBdr>
      <w:divsChild>
        <w:div w:id="1713731624">
          <w:marLeft w:val="0"/>
          <w:marRight w:val="0"/>
          <w:marTop w:val="0"/>
          <w:marBottom w:val="0"/>
          <w:divBdr>
            <w:top w:val="none" w:sz="0" w:space="0" w:color="auto"/>
            <w:left w:val="none" w:sz="0" w:space="0" w:color="auto"/>
            <w:bottom w:val="none" w:sz="0" w:space="0" w:color="auto"/>
            <w:right w:val="none" w:sz="0" w:space="0" w:color="auto"/>
          </w:divBdr>
          <w:divsChild>
            <w:div w:id="1345864746">
              <w:marLeft w:val="0"/>
              <w:marRight w:val="0"/>
              <w:marTop w:val="0"/>
              <w:marBottom w:val="0"/>
              <w:divBdr>
                <w:top w:val="none" w:sz="0" w:space="0" w:color="auto"/>
                <w:left w:val="none" w:sz="0" w:space="0" w:color="auto"/>
                <w:bottom w:val="none" w:sz="0" w:space="0" w:color="auto"/>
                <w:right w:val="none" w:sz="0" w:space="0" w:color="auto"/>
              </w:divBdr>
              <w:divsChild>
                <w:div w:id="1232696954">
                  <w:marLeft w:val="0"/>
                  <w:marRight w:val="0"/>
                  <w:marTop w:val="0"/>
                  <w:marBottom w:val="0"/>
                  <w:divBdr>
                    <w:top w:val="none" w:sz="0" w:space="0" w:color="auto"/>
                    <w:left w:val="none" w:sz="0" w:space="0" w:color="auto"/>
                    <w:bottom w:val="none" w:sz="0" w:space="0" w:color="auto"/>
                    <w:right w:val="none" w:sz="0" w:space="0" w:color="auto"/>
                  </w:divBdr>
                </w:div>
              </w:divsChild>
            </w:div>
            <w:div w:id="1743411179">
              <w:marLeft w:val="0"/>
              <w:marRight w:val="0"/>
              <w:marTop w:val="0"/>
              <w:marBottom w:val="0"/>
              <w:divBdr>
                <w:top w:val="none" w:sz="0" w:space="0" w:color="auto"/>
                <w:left w:val="none" w:sz="0" w:space="0" w:color="auto"/>
                <w:bottom w:val="none" w:sz="0" w:space="0" w:color="auto"/>
                <w:right w:val="none" w:sz="0" w:space="0" w:color="auto"/>
              </w:divBdr>
              <w:divsChild>
                <w:div w:id="6701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62095">
          <w:marLeft w:val="0"/>
          <w:marRight w:val="0"/>
          <w:marTop w:val="0"/>
          <w:marBottom w:val="0"/>
          <w:divBdr>
            <w:top w:val="none" w:sz="0" w:space="0" w:color="auto"/>
            <w:left w:val="none" w:sz="0" w:space="0" w:color="auto"/>
            <w:bottom w:val="none" w:sz="0" w:space="0" w:color="auto"/>
            <w:right w:val="none" w:sz="0" w:space="0" w:color="auto"/>
          </w:divBdr>
          <w:divsChild>
            <w:div w:id="653948071">
              <w:marLeft w:val="0"/>
              <w:marRight w:val="0"/>
              <w:marTop w:val="0"/>
              <w:marBottom w:val="0"/>
              <w:divBdr>
                <w:top w:val="none" w:sz="0" w:space="0" w:color="auto"/>
                <w:left w:val="none" w:sz="0" w:space="0" w:color="auto"/>
                <w:bottom w:val="none" w:sz="0" w:space="0" w:color="auto"/>
                <w:right w:val="none" w:sz="0" w:space="0" w:color="auto"/>
              </w:divBdr>
              <w:divsChild>
                <w:div w:id="8143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034176">
      <w:bodyDiv w:val="1"/>
      <w:marLeft w:val="0"/>
      <w:marRight w:val="0"/>
      <w:marTop w:val="0"/>
      <w:marBottom w:val="0"/>
      <w:divBdr>
        <w:top w:val="none" w:sz="0" w:space="0" w:color="auto"/>
        <w:left w:val="none" w:sz="0" w:space="0" w:color="auto"/>
        <w:bottom w:val="none" w:sz="0" w:space="0" w:color="auto"/>
        <w:right w:val="none" w:sz="0" w:space="0" w:color="auto"/>
      </w:divBdr>
      <w:divsChild>
        <w:div w:id="73743650">
          <w:marLeft w:val="0"/>
          <w:marRight w:val="0"/>
          <w:marTop w:val="224"/>
          <w:marBottom w:val="0"/>
          <w:divBdr>
            <w:top w:val="none" w:sz="0" w:space="0" w:color="auto"/>
            <w:left w:val="none" w:sz="0" w:space="0" w:color="auto"/>
            <w:bottom w:val="none" w:sz="0" w:space="0" w:color="auto"/>
            <w:right w:val="none" w:sz="0" w:space="0" w:color="auto"/>
          </w:divBdr>
          <w:divsChild>
            <w:div w:id="1582635880">
              <w:marLeft w:val="0"/>
              <w:marRight w:val="0"/>
              <w:marTop w:val="0"/>
              <w:marBottom w:val="0"/>
              <w:divBdr>
                <w:top w:val="none" w:sz="0" w:space="0" w:color="auto"/>
                <w:left w:val="none" w:sz="0" w:space="0" w:color="auto"/>
                <w:bottom w:val="none" w:sz="0" w:space="0" w:color="auto"/>
                <w:right w:val="none" w:sz="0" w:space="0" w:color="auto"/>
              </w:divBdr>
            </w:div>
          </w:divsChild>
        </w:div>
        <w:div w:id="109130250">
          <w:marLeft w:val="0"/>
          <w:marRight w:val="0"/>
          <w:marTop w:val="0"/>
          <w:marBottom w:val="0"/>
          <w:divBdr>
            <w:top w:val="none" w:sz="0" w:space="0" w:color="auto"/>
            <w:left w:val="none" w:sz="0" w:space="0" w:color="auto"/>
            <w:bottom w:val="none" w:sz="0" w:space="0" w:color="auto"/>
            <w:right w:val="none" w:sz="0" w:space="0" w:color="auto"/>
          </w:divBdr>
          <w:divsChild>
            <w:div w:id="823623172">
              <w:marLeft w:val="0"/>
              <w:marRight w:val="0"/>
              <w:marTop w:val="224"/>
              <w:marBottom w:val="0"/>
              <w:divBdr>
                <w:top w:val="none" w:sz="0" w:space="0" w:color="auto"/>
                <w:left w:val="none" w:sz="0" w:space="0" w:color="auto"/>
                <w:bottom w:val="none" w:sz="0" w:space="0" w:color="auto"/>
                <w:right w:val="none" w:sz="0" w:space="0" w:color="auto"/>
              </w:divBdr>
              <w:divsChild>
                <w:div w:id="21328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8020">
          <w:marLeft w:val="0"/>
          <w:marRight w:val="0"/>
          <w:marTop w:val="0"/>
          <w:marBottom w:val="0"/>
          <w:divBdr>
            <w:top w:val="none" w:sz="0" w:space="0" w:color="auto"/>
            <w:left w:val="none" w:sz="0" w:space="0" w:color="auto"/>
            <w:bottom w:val="none" w:sz="0" w:space="0" w:color="auto"/>
            <w:right w:val="none" w:sz="0" w:space="0" w:color="auto"/>
          </w:divBdr>
          <w:divsChild>
            <w:div w:id="822821566">
              <w:marLeft w:val="0"/>
              <w:marRight w:val="0"/>
              <w:marTop w:val="224"/>
              <w:marBottom w:val="0"/>
              <w:divBdr>
                <w:top w:val="none" w:sz="0" w:space="0" w:color="auto"/>
                <w:left w:val="none" w:sz="0" w:space="0" w:color="auto"/>
                <w:bottom w:val="none" w:sz="0" w:space="0" w:color="auto"/>
                <w:right w:val="none" w:sz="0" w:space="0" w:color="auto"/>
              </w:divBdr>
              <w:divsChild>
                <w:div w:id="3631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68385">
          <w:marLeft w:val="0"/>
          <w:marRight w:val="0"/>
          <w:marTop w:val="224"/>
          <w:marBottom w:val="0"/>
          <w:divBdr>
            <w:top w:val="none" w:sz="0" w:space="0" w:color="auto"/>
            <w:left w:val="none" w:sz="0" w:space="0" w:color="auto"/>
            <w:bottom w:val="none" w:sz="0" w:space="0" w:color="auto"/>
            <w:right w:val="none" w:sz="0" w:space="0" w:color="auto"/>
          </w:divBdr>
          <w:divsChild>
            <w:div w:id="690952595">
              <w:marLeft w:val="0"/>
              <w:marRight w:val="0"/>
              <w:marTop w:val="0"/>
              <w:marBottom w:val="0"/>
              <w:divBdr>
                <w:top w:val="none" w:sz="0" w:space="0" w:color="auto"/>
                <w:left w:val="none" w:sz="0" w:space="0" w:color="auto"/>
                <w:bottom w:val="none" w:sz="0" w:space="0" w:color="auto"/>
                <w:right w:val="none" w:sz="0" w:space="0" w:color="auto"/>
              </w:divBdr>
            </w:div>
          </w:divsChild>
        </w:div>
        <w:div w:id="854077347">
          <w:marLeft w:val="0"/>
          <w:marRight w:val="0"/>
          <w:marTop w:val="224"/>
          <w:marBottom w:val="0"/>
          <w:divBdr>
            <w:top w:val="none" w:sz="0" w:space="0" w:color="auto"/>
            <w:left w:val="none" w:sz="0" w:space="0" w:color="auto"/>
            <w:bottom w:val="none" w:sz="0" w:space="0" w:color="auto"/>
            <w:right w:val="none" w:sz="0" w:space="0" w:color="auto"/>
          </w:divBdr>
          <w:divsChild>
            <w:div w:id="15584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8264">
      <w:bodyDiv w:val="1"/>
      <w:marLeft w:val="0"/>
      <w:marRight w:val="0"/>
      <w:marTop w:val="0"/>
      <w:marBottom w:val="0"/>
      <w:divBdr>
        <w:top w:val="none" w:sz="0" w:space="0" w:color="auto"/>
        <w:left w:val="none" w:sz="0" w:space="0" w:color="auto"/>
        <w:bottom w:val="none" w:sz="0" w:space="0" w:color="auto"/>
        <w:right w:val="none" w:sz="0" w:space="0" w:color="auto"/>
      </w:divBdr>
      <w:divsChild>
        <w:div w:id="175075754">
          <w:marLeft w:val="0"/>
          <w:marRight w:val="0"/>
          <w:marTop w:val="0"/>
          <w:marBottom w:val="0"/>
          <w:divBdr>
            <w:top w:val="none" w:sz="0" w:space="0" w:color="auto"/>
            <w:left w:val="none" w:sz="0" w:space="0" w:color="auto"/>
            <w:bottom w:val="none" w:sz="0" w:space="0" w:color="auto"/>
            <w:right w:val="none" w:sz="0" w:space="0" w:color="auto"/>
          </w:divBdr>
          <w:divsChild>
            <w:div w:id="143397249">
              <w:marLeft w:val="0"/>
              <w:marRight w:val="0"/>
              <w:marTop w:val="0"/>
              <w:marBottom w:val="0"/>
              <w:divBdr>
                <w:top w:val="none" w:sz="0" w:space="0" w:color="auto"/>
                <w:left w:val="none" w:sz="0" w:space="0" w:color="auto"/>
                <w:bottom w:val="none" w:sz="0" w:space="0" w:color="auto"/>
                <w:right w:val="none" w:sz="0" w:space="0" w:color="auto"/>
              </w:divBdr>
            </w:div>
          </w:divsChild>
        </w:div>
        <w:div w:id="588388316">
          <w:marLeft w:val="0"/>
          <w:marRight w:val="0"/>
          <w:marTop w:val="0"/>
          <w:marBottom w:val="0"/>
          <w:divBdr>
            <w:top w:val="none" w:sz="0" w:space="0" w:color="auto"/>
            <w:left w:val="none" w:sz="0" w:space="0" w:color="auto"/>
            <w:bottom w:val="none" w:sz="0" w:space="0" w:color="auto"/>
            <w:right w:val="none" w:sz="0" w:space="0" w:color="auto"/>
          </w:divBdr>
          <w:divsChild>
            <w:div w:id="506214301">
              <w:marLeft w:val="0"/>
              <w:marRight w:val="0"/>
              <w:marTop w:val="0"/>
              <w:marBottom w:val="0"/>
              <w:divBdr>
                <w:top w:val="none" w:sz="0" w:space="0" w:color="auto"/>
                <w:left w:val="none" w:sz="0" w:space="0" w:color="auto"/>
                <w:bottom w:val="none" w:sz="0" w:space="0" w:color="auto"/>
                <w:right w:val="none" w:sz="0" w:space="0" w:color="auto"/>
              </w:divBdr>
              <w:divsChild>
                <w:div w:id="1321738903">
                  <w:marLeft w:val="0"/>
                  <w:marRight w:val="0"/>
                  <w:marTop w:val="0"/>
                  <w:marBottom w:val="0"/>
                  <w:divBdr>
                    <w:top w:val="none" w:sz="0" w:space="0" w:color="auto"/>
                    <w:left w:val="none" w:sz="0" w:space="0" w:color="auto"/>
                    <w:bottom w:val="none" w:sz="0" w:space="0" w:color="auto"/>
                    <w:right w:val="none" w:sz="0" w:space="0" w:color="auto"/>
                  </w:divBdr>
                </w:div>
              </w:divsChild>
            </w:div>
            <w:div w:id="1396471507">
              <w:marLeft w:val="0"/>
              <w:marRight w:val="0"/>
              <w:marTop w:val="0"/>
              <w:marBottom w:val="0"/>
              <w:divBdr>
                <w:top w:val="none" w:sz="0" w:space="0" w:color="auto"/>
                <w:left w:val="none" w:sz="0" w:space="0" w:color="auto"/>
                <w:bottom w:val="none" w:sz="0" w:space="0" w:color="auto"/>
                <w:right w:val="none" w:sz="0" w:space="0" w:color="auto"/>
              </w:divBdr>
              <w:divsChild>
                <w:div w:id="1413117072">
                  <w:marLeft w:val="0"/>
                  <w:marRight w:val="0"/>
                  <w:marTop w:val="0"/>
                  <w:marBottom w:val="0"/>
                  <w:divBdr>
                    <w:top w:val="none" w:sz="0" w:space="0" w:color="auto"/>
                    <w:left w:val="none" w:sz="0" w:space="0" w:color="auto"/>
                    <w:bottom w:val="none" w:sz="0" w:space="0" w:color="auto"/>
                    <w:right w:val="none" w:sz="0" w:space="0" w:color="auto"/>
                  </w:divBdr>
                </w:div>
              </w:divsChild>
            </w:div>
            <w:div w:id="1638954818">
              <w:marLeft w:val="0"/>
              <w:marRight w:val="0"/>
              <w:marTop w:val="0"/>
              <w:marBottom w:val="0"/>
              <w:divBdr>
                <w:top w:val="none" w:sz="0" w:space="0" w:color="auto"/>
                <w:left w:val="none" w:sz="0" w:space="0" w:color="auto"/>
                <w:bottom w:val="none" w:sz="0" w:space="0" w:color="auto"/>
                <w:right w:val="none" w:sz="0" w:space="0" w:color="auto"/>
              </w:divBdr>
              <w:divsChild>
                <w:div w:id="361129897">
                  <w:marLeft w:val="0"/>
                  <w:marRight w:val="0"/>
                  <w:marTop w:val="0"/>
                  <w:marBottom w:val="0"/>
                  <w:divBdr>
                    <w:top w:val="none" w:sz="0" w:space="0" w:color="auto"/>
                    <w:left w:val="none" w:sz="0" w:space="0" w:color="auto"/>
                    <w:bottom w:val="none" w:sz="0" w:space="0" w:color="auto"/>
                    <w:right w:val="none" w:sz="0" w:space="0" w:color="auto"/>
                  </w:divBdr>
                  <w:divsChild>
                    <w:div w:id="753933618">
                      <w:marLeft w:val="0"/>
                      <w:marRight w:val="0"/>
                      <w:marTop w:val="0"/>
                      <w:marBottom w:val="0"/>
                      <w:divBdr>
                        <w:top w:val="none" w:sz="0" w:space="0" w:color="auto"/>
                        <w:left w:val="none" w:sz="0" w:space="0" w:color="auto"/>
                        <w:bottom w:val="none" w:sz="0" w:space="0" w:color="auto"/>
                        <w:right w:val="none" w:sz="0" w:space="0" w:color="auto"/>
                      </w:divBdr>
                      <w:divsChild>
                        <w:div w:id="17814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7435">
                  <w:marLeft w:val="0"/>
                  <w:marRight w:val="0"/>
                  <w:marTop w:val="0"/>
                  <w:marBottom w:val="0"/>
                  <w:divBdr>
                    <w:top w:val="none" w:sz="0" w:space="0" w:color="auto"/>
                    <w:left w:val="none" w:sz="0" w:space="0" w:color="auto"/>
                    <w:bottom w:val="none" w:sz="0" w:space="0" w:color="auto"/>
                    <w:right w:val="none" w:sz="0" w:space="0" w:color="auto"/>
                  </w:divBdr>
                  <w:divsChild>
                    <w:div w:id="550268914">
                      <w:marLeft w:val="0"/>
                      <w:marRight w:val="0"/>
                      <w:marTop w:val="0"/>
                      <w:marBottom w:val="0"/>
                      <w:divBdr>
                        <w:top w:val="none" w:sz="0" w:space="0" w:color="auto"/>
                        <w:left w:val="none" w:sz="0" w:space="0" w:color="auto"/>
                        <w:bottom w:val="none" w:sz="0" w:space="0" w:color="auto"/>
                        <w:right w:val="none" w:sz="0" w:space="0" w:color="auto"/>
                      </w:divBdr>
                      <w:divsChild>
                        <w:div w:id="14675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78507">
                  <w:marLeft w:val="0"/>
                  <w:marRight w:val="0"/>
                  <w:marTop w:val="0"/>
                  <w:marBottom w:val="0"/>
                  <w:divBdr>
                    <w:top w:val="none" w:sz="0" w:space="0" w:color="auto"/>
                    <w:left w:val="none" w:sz="0" w:space="0" w:color="auto"/>
                    <w:bottom w:val="none" w:sz="0" w:space="0" w:color="auto"/>
                    <w:right w:val="none" w:sz="0" w:space="0" w:color="auto"/>
                  </w:divBdr>
                  <w:divsChild>
                    <w:div w:id="1251937283">
                      <w:marLeft w:val="0"/>
                      <w:marRight w:val="0"/>
                      <w:marTop w:val="0"/>
                      <w:marBottom w:val="0"/>
                      <w:divBdr>
                        <w:top w:val="none" w:sz="0" w:space="0" w:color="auto"/>
                        <w:left w:val="none" w:sz="0" w:space="0" w:color="auto"/>
                        <w:bottom w:val="none" w:sz="0" w:space="0" w:color="auto"/>
                        <w:right w:val="none" w:sz="0" w:space="0" w:color="auto"/>
                      </w:divBdr>
                      <w:divsChild>
                        <w:div w:id="32139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369508">
          <w:marLeft w:val="0"/>
          <w:marRight w:val="0"/>
          <w:marTop w:val="0"/>
          <w:marBottom w:val="0"/>
          <w:divBdr>
            <w:top w:val="none" w:sz="0" w:space="0" w:color="auto"/>
            <w:left w:val="none" w:sz="0" w:space="0" w:color="auto"/>
            <w:bottom w:val="none" w:sz="0" w:space="0" w:color="auto"/>
            <w:right w:val="none" w:sz="0" w:space="0" w:color="auto"/>
          </w:divBdr>
          <w:divsChild>
            <w:div w:id="869492972">
              <w:marLeft w:val="0"/>
              <w:marRight w:val="0"/>
              <w:marTop w:val="0"/>
              <w:marBottom w:val="0"/>
              <w:divBdr>
                <w:top w:val="none" w:sz="0" w:space="0" w:color="auto"/>
                <w:left w:val="none" w:sz="0" w:space="0" w:color="auto"/>
                <w:bottom w:val="none" w:sz="0" w:space="0" w:color="auto"/>
                <w:right w:val="none" w:sz="0" w:space="0" w:color="auto"/>
              </w:divBdr>
              <w:divsChild>
                <w:div w:id="1214191055">
                  <w:marLeft w:val="0"/>
                  <w:marRight w:val="0"/>
                  <w:marTop w:val="0"/>
                  <w:marBottom w:val="0"/>
                  <w:divBdr>
                    <w:top w:val="none" w:sz="0" w:space="0" w:color="auto"/>
                    <w:left w:val="none" w:sz="0" w:space="0" w:color="auto"/>
                    <w:bottom w:val="none" w:sz="0" w:space="0" w:color="auto"/>
                    <w:right w:val="none" w:sz="0" w:space="0" w:color="auto"/>
                  </w:divBdr>
                  <w:divsChild>
                    <w:div w:id="1895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087">
              <w:marLeft w:val="0"/>
              <w:marRight w:val="0"/>
              <w:marTop w:val="0"/>
              <w:marBottom w:val="0"/>
              <w:divBdr>
                <w:top w:val="none" w:sz="0" w:space="0" w:color="auto"/>
                <w:left w:val="none" w:sz="0" w:space="0" w:color="auto"/>
                <w:bottom w:val="none" w:sz="0" w:space="0" w:color="auto"/>
                <w:right w:val="none" w:sz="0" w:space="0" w:color="auto"/>
              </w:divBdr>
              <w:divsChild>
                <w:div w:id="2068649917">
                  <w:marLeft w:val="0"/>
                  <w:marRight w:val="0"/>
                  <w:marTop w:val="0"/>
                  <w:marBottom w:val="0"/>
                  <w:divBdr>
                    <w:top w:val="none" w:sz="0" w:space="0" w:color="auto"/>
                    <w:left w:val="none" w:sz="0" w:space="0" w:color="auto"/>
                    <w:bottom w:val="none" w:sz="0" w:space="0" w:color="auto"/>
                    <w:right w:val="none" w:sz="0" w:space="0" w:color="auto"/>
                  </w:divBdr>
                  <w:divsChild>
                    <w:div w:id="14440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2675">
          <w:marLeft w:val="0"/>
          <w:marRight w:val="0"/>
          <w:marTop w:val="0"/>
          <w:marBottom w:val="0"/>
          <w:divBdr>
            <w:top w:val="none" w:sz="0" w:space="0" w:color="auto"/>
            <w:left w:val="none" w:sz="0" w:space="0" w:color="auto"/>
            <w:bottom w:val="none" w:sz="0" w:space="0" w:color="auto"/>
            <w:right w:val="none" w:sz="0" w:space="0" w:color="auto"/>
          </w:divBdr>
          <w:divsChild>
            <w:div w:id="19685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87852">
      <w:bodyDiv w:val="1"/>
      <w:marLeft w:val="0"/>
      <w:marRight w:val="0"/>
      <w:marTop w:val="0"/>
      <w:marBottom w:val="0"/>
      <w:divBdr>
        <w:top w:val="none" w:sz="0" w:space="0" w:color="auto"/>
        <w:left w:val="none" w:sz="0" w:space="0" w:color="auto"/>
        <w:bottom w:val="none" w:sz="0" w:space="0" w:color="auto"/>
        <w:right w:val="none" w:sz="0" w:space="0" w:color="auto"/>
      </w:divBdr>
      <w:divsChild>
        <w:div w:id="801459881">
          <w:marLeft w:val="0"/>
          <w:marRight w:val="0"/>
          <w:marTop w:val="0"/>
          <w:marBottom w:val="0"/>
          <w:divBdr>
            <w:top w:val="none" w:sz="0" w:space="0" w:color="auto"/>
            <w:left w:val="none" w:sz="0" w:space="0" w:color="auto"/>
            <w:bottom w:val="none" w:sz="0" w:space="0" w:color="auto"/>
            <w:right w:val="none" w:sz="0" w:space="0" w:color="auto"/>
          </w:divBdr>
          <w:divsChild>
            <w:div w:id="990134685">
              <w:marLeft w:val="0"/>
              <w:marRight w:val="0"/>
              <w:marTop w:val="0"/>
              <w:marBottom w:val="0"/>
              <w:divBdr>
                <w:top w:val="none" w:sz="0" w:space="0" w:color="auto"/>
                <w:left w:val="none" w:sz="0" w:space="0" w:color="auto"/>
                <w:bottom w:val="none" w:sz="0" w:space="0" w:color="auto"/>
                <w:right w:val="none" w:sz="0" w:space="0" w:color="auto"/>
              </w:divBdr>
            </w:div>
          </w:divsChild>
        </w:div>
        <w:div w:id="1251617142">
          <w:marLeft w:val="0"/>
          <w:marRight w:val="0"/>
          <w:marTop w:val="0"/>
          <w:marBottom w:val="0"/>
          <w:divBdr>
            <w:top w:val="none" w:sz="0" w:space="0" w:color="auto"/>
            <w:left w:val="none" w:sz="0" w:space="0" w:color="auto"/>
            <w:bottom w:val="none" w:sz="0" w:space="0" w:color="auto"/>
            <w:right w:val="none" w:sz="0" w:space="0" w:color="auto"/>
          </w:divBdr>
          <w:divsChild>
            <w:div w:id="18058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5058">
      <w:bodyDiv w:val="1"/>
      <w:marLeft w:val="0"/>
      <w:marRight w:val="0"/>
      <w:marTop w:val="0"/>
      <w:marBottom w:val="0"/>
      <w:divBdr>
        <w:top w:val="none" w:sz="0" w:space="0" w:color="auto"/>
        <w:left w:val="none" w:sz="0" w:space="0" w:color="auto"/>
        <w:bottom w:val="none" w:sz="0" w:space="0" w:color="auto"/>
        <w:right w:val="none" w:sz="0" w:space="0" w:color="auto"/>
      </w:divBdr>
      <w:divsChild>
        <w:div w:id="903837196">
          <w:marLeft w:val="0"/>
          <w:marRight w:val="0"/>
          <w:marTop w:val="0"/>
          <w:marBottom w:val="0"/>
          <w:divBdr>
            <w:top w:val="none" w:sz="0" w:space="0" w:color="auto"/>
            <w:left w:val="none" w:sz="0" w:space="0" w:color="auto"/>
            <w:bottom w:val="none" w:sz="0" w:space="0" w:color="auto"/>
            <w:right w:val="none" w:sz="0" w:space="0" w:color="auto"/>
          </w:divBdr>
          <w:divsChild>
            <w:div w:id="801389043">
              <w:marLeft w:val="0"/>
              <w:marRight w:val="0"/>
              <w:marTop w:val="0"/>
              <w:marBottom w:val="0"/>
              <w:divBdr>
                <w:top w:val="none" w:sz="0" w:space="0" w:color="auto"/>
                <w:left w:val="none" w:sz="0" w:space="0" w:color="auto"/>
                <w:bottom w:val="none" w:sz="0" w:space="0" w:color="auto"/>
                <w:right w:val="none" w:sz="0" w:space="0" w:color="auto"/>
              </w:divBdr>
            </w:div>
          </w:divsChild>
        </w:div>
        <w:div w:id="953363243">
          <w:marLeft w:val="0"/>
          <w:marRight w:val="0"/>
          <w:marTop w:val="0"/>
          <w:marBottom w:val="0"/>
          <w:divBdr>
            <w:top w:val="none" w:sz="0" w:space="0" w:color="auto"/>
            <w:left w:val="none" w:sz="0" w:space="0" w:color="auto"/>
            <w:bottom w:val="none" w:sz="0" w:space="0" w:color="auto"/>
            <w:right w:val="none" w:sz="0" w:space="0" w:color="auto"/>
          </w:divBdr>
          <w:divsChild>
            <w:div w:id="919876716">
              <w:marLeft w:val="0"/>
              <w:marRight w:val="0"/>
              <w:marTop w:val="0"/>
              <w:marBottom w:val="0"/>
              <w:divBdr>
                <w:top w:val="none" w:sz="0" w:space="0" w:color="auto"/>
                <w:left w:val="none" w:sz="0" w:space="0" w:color="auto"/>
                <w:bottom w:val="none" w:sz="0" w:space="0" w:color="auto"/>
                <w:right w:val="none" w:sz="0" w:space="0" w:color="auto"/>
              </w:divBdr>
            </w:div>
          </w:divsChild>
        </w:div>
        <w:div w:id="1804420040">
          <w:marLeft w:val="0"/>
          <w:marRight w:val="0"/>
          <w:marTop w:val="0"/>
          <w:marBottom w:val="0"/>
          <w:divBdr>
            <w:top w:val="none" w:sz="0" w:space="0" w:color="auto"/>
            <w:left w:val="none" w:sz="0" w:space="0" w:color="auto"/>
            <w:bottom w:val="none" w:sz="0" w:space="0" w:color="auto"/>
            <w:right w:val="none" w:sz="0" w:space="0" w:color="auto"/>
          </w:divBdr>
          <w:divsChild>
            <w:div w:id="995380075">
              <w:marLeft w:val="0"/>
              <w:marRight w:val="0"/>
              <w:marTop w:val="0"/>
              <w:marBottom w:val="0"/>
              <w:divBdr>
                <w:top w:val="none" w:sz="0" w:space="0" w:color="auto"/>
                <w:left w:val="none" w:sz="0" w:space="0" w:color="auto"/>
                <w:bottom w:val="none" w:sz="0" w:space="0" w:color="auto"/>
                <w:right w:val="none" w:sz="0" w:space="0" w:color="auto"/>
              </w:divBdr>
              <w:divsChild>
                <w:div w:id="527135613">
                  <w:marLeft w:val="0"/>
                  <w:marRight w:val="0"/>
                  <w:marTop w:val="0"/>
                  <w:marBottom w:val="0"/>
                  <w:divBdr>
                    <w:top w:val="none" w:sz="0" w:space="0" w:color="auto"/>
                    <w:left w:val="none" w:sz="0" w:space="0" w:color="auto"/>
                    <w:bottom w:val="none" w:sz="0" w:space="0" w:color="auto"/>
                    <w:right w:val="none" w:sz="0" w:space="0" w:color="auto"/>
                  </w:divBdr>
                  <w:divsChild>
                    <w:div w:id="13036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5654">
              <w:marLeft w:val="0"/>
              <w:marRight w:val="0"/>
              <w:marTop w:val="0"/>
              <w:marBottom w:val="0"/>
              <w:divBdr>
                <w:top w:val="none" w:sz="0" w:space="0" w:color="auto"/>
                <w:left w:val="none" w:sz="0" w:space="0" w:color="auto"/>
                <w:bottom w:val="none" w:sz="0" w:space="0" w:color="auto"/>
                <w:right w:val="none" w:sz="0" w:space="0" w:color="auto"/>
              </w:divBdr>
              <w:divsChild>
                <w:div w:id="2059814640">
                  <w:marLeft w:val="0"/>
                  <w:marRight w:val="0"/>
                  <w:marTop w:val="0"/>
                  <w:marBottom w:val="0"/>
                  <w:divBdr>
                    <w:top w:val="none" w:sz="0" w:space="0" w:color="auto"/>
                    <w:left w:val="none" w:sz="0" w:space="0" w:color="auto"/>
                    <w:bottom w:val="none" w:sz="0" w:space="0" w:color="auto"/>
                    <w:right w:val="none" w:sz="0" w:space="0" w:color="auto"/>
                  </w:divBdr>
                  <w:divsChild>
                    <w:div w:id="20434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476082">
      <w:bodyDiv w:val="1"/>
      <w:marLeft w:val="0"/>
      <w:marRight w:val="0"/>
      <w:marTop w:val="0"/>
      <w:marBottom w:val="0"/>
      <w:divBdr>
        <w:top w:val="none" w:sz="0" w:space="0" w:color="auto"/>
        <w:left w:val="none" w:sz="0" w:space="0" w:color="auto"/>
        <w:bottom w:val="none" w:sz="0" w:space="0" w:color="auto"/>
        <w:right w:val="none" w:sz="0" w:space="0" w:color="auto"/>
      </w:divBdr>
      <w:divsChild>
        <w:div w:id="399597694">
          <w:marLeft w:val="0"/>
          <w:marRight w:val="0"/>
          <w:marTop w:val="0"/>
          <w:marBottom w:val="0"/>
          <w:divBdr>
            <w:top w:val="none" w:sz="0" w:space="0" w:color="auto"/>
            <w:left w:val="none" w:sz="0" w:space="0" w:color="auto"/>
            <w:bottom w:val="none" w:sz="0" w:space="0" w:color="auto"/>
            <w:right w:val="none" w:sz="0" w:space="0" w:color="auto"/>
          </w:divBdr>
          <w:divsChild>
            <w:div w:id="2146701897">
              <w:marLeft w:val="0"/>
              <w:marRight w:val="0"/>
              <w:marTop w:val="0"/>
              <w:marBottom w:val="0"/>
              <w:divBdr>
                <w:top w:val="none" w:sz="0" w:space="0" w:color="auto"/>
                <w:left w:val="none" w:sz="0" w:space="0" w:color="auto"/>
                <w:bottom w:val="none" w:sz="0" w:space="0" w:color="auto"/>
                <w:right w:val="none" w:sz="0" w:space="0" w:color="auto"/>
              </w:divBdr>
            </w:div>
          </w:divsChild>
        </w:div>
        <w:div w:id="443621520">
          <w:marLeft w:val="0"/>
          <w:marRight w:val="0"/>
          <w:marTop w:val="0"/>
          <w:marBottom w:val="0"/>
          <w:divBdr>
            <w:top w:val="none" w:sz="0" w:space="0" w:color="auto"/>
            <w:left w:val="none" w:sz="0" w:space="0" w:color="auto"/>
            <w:bottom w:val="none" w:sz="0" w:space="0" w:color="auto"/>
            <w:right w:val="none" w:sz="0" w:space="0" w:color="auto"/>
          </w:divBdr>
          <w:divsChild>
            <w:div w:id="1766806107">
              <w:marLeft w:val="0"/>
              <w:marRight w:val="0"/>
              <w:marTop w:val="0"/>
              <w:marBottom w:val="0"/>
              <w:divBdr>
                <w:top w:val="none" w:sz="0" w:space="0" w:color="auto"/>
                <w:left w:val="none" w:sz="0" w:space="0" w:color="auto"/>
                <w:bottom w:val="none" w:sz="0" w:space="0" w:color="auto"/>
                <w:right w:val="none" w:sz="0" w:space="0" w:color="auto"/>
              </w:divBdr>
            </w:div>
          </w:divsChild>
        </w:div>
        <w:div w:id="822545271">
          <w:marLeft w:val="0"/>
          <w:marRight w:val="0"/>
          <w:marTop w:val="0"/>
          <w:marBottom w:val="0"/>
          <w:divBdr>
            <w:top w:val="none" w:sz="0" w:space="0" w:color="auto"/>
            <w:left w:val="none" w:sz="0" w:space="0" w:color="auto"/>
            <w:bottom w:val="none" w:sz="0" w:space="0" w:color="auto"/>
            <w:right w:val="none" w:sz="0" w:space="0" w:color="auto"/>
          </w:divBdr>
          <w:divsChild>
            <w:div w:id="184903675">
              <w:marLeft w:val="0"/>
              <w:marRight w:val="0"/>
              <w:marTop w:val="0"/>
              <w:marBottom w:val="0"/>
              <w:divBdr>
                <w:top w:val="none" w:sz="0" w:space="0" w:color="auto"/>
                <w:left w:val="none" w:sz="0" w:space="0" w:color="auto"/>
                <w:bottom w:val="none" w:sz="0" w:space="0" w:color="auto"/>
                <w:right w:val="none" w:sz="0" w:space="0" w:color="auto"/>
              </w:divBdr>
            </w:div>
          </w:divsChild>
        </w:div>
        <w:div w:id="1143741081">
          <w:marLeft w:val="0"/>
          <w:marRight w:val="0"/>
          <w:marTop w:val="0"/>
          <w:marBottom w:val="0"/>
          <w:divBdr>
            <w:top w:val="none" w:sz="0" w:space="0" w:color="auto"/>
            <w:left w:val="none" w:sz="0" w:space="0" w:color="auto"/>
            <w:bottom w:val="none" w:sz="0" w:space="0" w:color="auto"/>
            <w:right w:val="none" w:sz="0" w:space="0" w:color="auto"/>
          </w:divBdr>
          <w:divsChild>
            <w:div w:id="613638209">
              <w:marLeft w:val="0"/>
              <w:marRight w:val="0"/>
              <w:marTop w:val="0"/>
              <w:marBottom w:val="0"/>
              <w:divBdr>
                <w:top w:val="none" w:sz="0" w:space="0" w:color="auto"/>
                <w:left w:val="none" w:sz="0" w:space="0" w:color="auto"/>
                <w:bottom w:val="none" w:sz="0" w:space="0" w:color="auto"/>
                <w:right w:val="none" w:sz="0" w:space="0" w:color="auto"/>
              </w:divBdr>
              <w:divsChild>
                <w:div w:id="2057389332">
                  <w:marLeft w:val="0"/>
                  <w:marRight w:val="0"/>
                  <w:marTop w:val="0"/>
                  <w:marBottom w:val="0"/>
                  <w:divBdr>
                    <w:top w:val="none" w:sz="0" w:space="0" w:color="auto"/>
                    <w:left w:val="none" w:sz="0" w:space="0" w:color="auto"/>
                    <w:bottom w:val="none" w:sz="0" w:space="0" w:color="auto"/>
                    <w:right w:val="none" w:sz="0" w:space="0" w:color="auto"/>
                  </w:divBdr>
                  <w:divsChild>
                    <w:div w:id="4691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7587">
              <w:marLeft w:val="0"/>
              <w:marRight w:val="0"/>
              <w:marTop w:val="0"/>
              <w:marBottom w:val="0"/>
              <w:divBdr>
                <w:top w:val="none" w:sz="0" w:space="0" w:color="auto"/>
                <w:left w:val="none" w:sz="0" w:space="0" w:color="auto"/>
                <w:bottom w:val="none" w:sz="0" w:space="0" w:color="auto"/>
                <w:right w:val="none" w:sz="0" w:space="0" w:color="auto"/>
              </w:divBdr>
              <w:divsChild>
                <w:div w:id="1970865395">
                  <w:marLeft w:val="0"/>
                  <w:marRight w:val="0"/>
                  <w:marTop w:val="0"/>
                  <w:marBottom w:val="0"/>
                  <w:divBdr>
                    <w:top w:val="none" w:sz="0" w:space="0" w:color="auto"/>
                    <w:left w:val="none" w:sz="0" w:space="0" w:color="auto"/>
                    <w:bottom w:val="none" w:sz="0" w:space="0" w:color="auto"/>
                    <w:right w:val="none" w:sz="0" w:space="0" w:color="auto"/>
                  </w:divBdr>
                  <w:divsChild>
                    <w:div w:id="2224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8824">
          <w:marLeft w:val="0"/>
          <w:marRight w:val="0"/>
          <w:marTop w:val="0"/>
          <w:marBottom w:val="0"/>
          <w:divBdr>
            <w:top w:val="none" w:sz="0" w:space="0" w:color="auto"/>
            <w:left w:val="none" w:sz="0" w:space="0" w:color="auto"/>
            <w:bottom w:val="none" w:sz="0" w:space="0" w:color="auto"/>
            <w:right w:val="none" w:sz="0" w:space="0" w:color="auto"/>
          </w:divBdr>
          <w:divsChild>
            <w:div w:id="306663275">
              <w:marLeft w:val="0"/>
              <w:marRight w:val="0"/>
              <w:marTop w:val="0"/>
              <w:marBottom w:val="0"/>
              <w:divBdr>
                <w:top w:val="none" w:sz="0" w:space="0" w:color="auto"/>
                <w:left w:val="none" w:sz="0" w:space="0" w:color="auto"/>
                <w:bottom w:val="none" w:sz="0" w:space="0" w:color="auto"/>
                <w:right w:val="none" w:sz="0" w:space="0" w:color="auto"/>
              </w:divBdr>
              <w:divsChild>
                <w:div w:id="1219636081">
                  <w:marLeft w:val="0"/>
                  <w:marRight w:val="0"/>
                  <w:marTop w:val="0"/>
                  <w:marBottom w:val="0"/>
                  <w:divBdr>
                    <w:top w:val="none" w:sz="0" w:space="0" w:color="auto"/>
                    <w:left w:val="none" w:sz="0" w:space="0" w:color="auto"/>
                    <w:bottom w:val="none" w:sz="0" w:space="0" w:color="auto"/>
                    <w:right w:val="none" w:sz="0" w:space="0" w:color="auto"/>
                  </w:divBdr>
                  <w:divsChild>
                    <w:div w:id="8914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4014">
              <w:marLeft w:val="0"/>
              <w:marRight w:val="0"/>
              <w:marTop w:val="0"/>
              <w:marBottom w:val="0"/>
              <w:divBdr>
                <w:top w:val="none" w:sz="0" w:space="0" w:color="auto"/>
                <w:left w:val="none" w:sz="0" w:space="0" w:color="auto"/>
                <w:bottom w:val="none" w:sz="0" w:space="0" w:color="auto"/>
                <w:right w:val="none" w:sz="0" w:space="0" w:color="auto"/>
              </w:divBdr>
              <w:divsChild>
                <w:div w:id="511771698">
                  <w:marLeft w:val="0"/>
                  <w:marRight w:val="0"/>
                  <w:marTop w:val="0"/>
                  <w:marBottom w:val="0"/>
                  <w:divBdr>
                    <w:top w:val="none" w:sz="0" w:space="0" w:color="auto"/>
                    <w:left w:val="none" w:sz="0" w:space="0" w:color="auto"/>
                    <w:bottom w:val="none" w:sz="0" w:space="0" w:color="auto"/>
                    <w:right w:val="none" w:sz="0" w:space="0" w:color="auto"/>
                  </w:divBdr>
                  <w:divsChild>
                    <w:div w:id="6698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731260">
          <w:marLeft w:val="0"/>
          <w:marRight w:val="0"/>
          <w:marTop w:val="0"/>
          <w:marBottom w:val="0"/>
          <w:divBdr>
            <w:top w:val="none" w:sz="0" w:space="0" w:color="auto"/>
            <w:left w:val="none" w:sz="0" w:space="0" w:color="auto"/>
            <w:bottom w:val="none" w:sz="0" w:space="0" w:color="auto"/>
            <w:right w:val="none" w:sz="0" w:space="0" w:color="auto"/>
          </w:divBdr>
          <w:divsChild>
            <w:div w:id="1266227264">
              <w:marLeft w:val="0"/>
              <w:marRight w:val="0"/>
              <w:marTop w:val="0"/>
              <w:marBottom w:val="0"/>
              <w:divBdr>
                <w:top w:val="none" w:sz="0" w:space="0" w:color="auto"/>
                <w:left w:val="none" w:sz="0" w:space="0" w:color="auto"/>
                <w:bottom w:val="none" w:sz="0" w:space="0" w:color="auto"/>
                <w:right w:val="none" w:sz="0" w:space="0" w:color="auto"/>
              </w:divBdr>
            </w:div>
          </w:divsChild>
        </w:div>
        <w:div w:id="1870143398">
          <w:marLeft w:val="0"/>
          <w:marRight w:val="0"/>
          <w:marTop w:val="0"/>
          <w:marBottom w:val="0"/>
          <w:divBdr>
            <w:top w:val="none" w:sz="0" w:space="0" w:color="auto"/>
            <w:left w:val="none" w:sz="0" w:space="0" w:color="auto"/>
            <w:bottom w:val="none" w:sz="0" w:space="0" w:color="auto"/>
            <w:right w:val="none" w:sz="0" w:space="0" w:color="auto"/>
          </w:divBdr>
          <w:divsChild>
            <w:div w:id="504394613">
              <w:marLeft w:val="0"/>
              <w:marRight w:val="0"/>
              <w:marTop w:val="0"/>
              <w:marBottom w:val="0"/>
              <w:divBdr>
                <w:top w:val="none" w:sz="0" w:space="0" w:color="auto"/>
                <w:left w:val="none" w:sz="0" w:space="0" w:color="auto"/>
                <w:bottom w:val="none" w:sz="0" w:space="0" w:color="auto"/>
                <w:right w:val="none" w:sz="0" w:space="0" w:color="auto"/>
              </w:divBdr>
              <w:divsChild>
                <w:div w:id="167790538">
                  <w:marLeft w:val="0"/>
                  <w:marRight w:val="0"/>
                  <w:marTop w:val="0"/>
                  <w:marBottom w:val="0"/>
                  <w:divBdr>
                    <w:top w:val="none" w:sz="0" w:space="0" w:color="auto"/>
                    <w:left w:val="none" w:sz="0" w:space="0" w:color="auto"/>
                    <w:bottom w:val="none" w:sz="0" w:space="0" w:color="auto"/>
                    <w:right w:val="none" w:sz="0" w:space="0" w:color="auto"/>
                  </w:divBdr>
                </w:div>
              </w:divsChild>
            </w:div>
            <w:div w:id="1708530206">
              <w:marLeft w:val="0"/>
              <w:marRight w:val="0"/>
              <w:marTop w:val="0"/>
              <w:marBottom w:val="0"/>
              <w:divBdr>
                <w:top w:val="none" w:sz="0" w:space="0" w:color="auto"/>
                <w:left w:val="none" w:sz="0" w:space="0" w:color="auto"/>
                <w:bottom w:val="none" w:sz="0" w:space="0" w:color="auto"/>
                <w:right w:val="none" w:sz="0" w:space="0" w:color="auto"/>
              </w:divBdr>
              <w:divsChild>
                <w:div w:id="19034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5055">
          <w:marLeft w:val="0"/>
          <w:marRight w:val="0"/>
          <w:marTop w:val="0"/>
          <w:marBottom w:val="0"/>
          <w:divBdr>
            <w:top w:val="none" w:sz="0" w:space="0" w:color="auto"/>
            <w:left w:val="none" w:sz="0" w:space="0" w:color="auto"/>
            <w:bottom w:val="none" w:sz="0" w:space="0" w:color="auto"/>
            <w:right w:val="none" w:sz="0" w:space="0" w:color="auto"/>
          </w:divBdr>
          <w:divsChild>
            <w:div w:id="85927384">
              <w:marLeft w:val="0"/>
              <w:marRight w:val="0"/>
              <w:marTop w:val="0"/>
              <w:marBottom w:val="0"/>
              <w:divBdr>
                <w:top w:val="none" w:sz="0" w:space="0" w:color="auto"/>
                <w:left w:val="none" w:sz="0" w:space="0" w:color="auto"/>
                <w:bottom w:val="none" w:sz="0" w:space="0" w:color="auto"/>
                <w:right w:val="none" w:sz="0" w:space="0" w:color="auto"/>
              </w:divBdr>
              <w:divsChild>
                <w:div w:id="808935574">
                  <w:marLeft w:val="0"/>
                  <w:marRight w:val="0"/>
                  <w:marTop w:val="0"/>
                  <w:marBottom w:val="0"/>
                  <w:divBdr>
                    <w:top w:val="none" w:sz="0" w:space="0" w:color="auto"/>
                    <w:left w:val="none" w:sz="0" w:space="0" w:color="auto"/>
                    <w:bottom w:val="none" w:sz="0" w:space="0" w:color="auto"/>
                    <w:right w:val="none" w:sz="0" w:space="0" w:color="auto"/>
                  </w:divBdr>
                </w:div>
              </w:divsChild>
            </w:div>
            <w:div w:id="862327198">
              <w:marLeft w:val="0"/>
              <w:marRight w:val="0"/>
              <w:marTop w:val="0"/>
              <w:marBottom w:val="0"/>
              <w:divBdr>
                <w:top w:val="none" w:sz="0" w:space="0" w:color="auto"/>
                <w:left w:val="none" w:sz="0" w:space="0" w:color="auto"/>
                <w:bottom w:val="none" w:sz="0" w:space="0" w:color="auto"/>
                <w:right w:val="none" w:sz="0" w:space="0" w:color="auto"/>
              </w:divBdr>
              <w:divsChild>
                <w:div w:id="1300837554">
                  <w:marLeft w:val="0"/>
                  <w:marRight w:val="0"/>
                  <w:marTop w:val="0"/>
                  <w:marBottom w:val="0"/>
                  <w:divBdr>
                    <w:top w:val="none" w:sz="0" w:space="0" w:color="auto"/>
                    <w:left w:val="none" w:sz="0" w:space="0" w:color="auto"/>
                    <w:bottom w:val="none" w:sz="0" w:space="0" w:color="auto"/>
                    <w:right w:val="none" w:sz="0" w:space="0" w:color="auto"/>
                  </w:divBdr>
                </w:div>
              </w:divsChild>
            </w:div>
            <w:div w:id="128812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528783">
                  <w:marLeft w:val="0"/>
                  <w:marRight w:val="0"/>
                  <w:marTop w:val="0"/>
                  <w:marBottom w:val="0"/>
                  <w:divBdr>
                    <w:top w:val="none" w:sz="0" w:space="0" w:color="auto"/>
                    <w:left w:val="none" w:sz="0" w:space="0" w:color="auto"/>
                    <w:bottom w:val="none" w:sz="0" w:space="0" w:color="auto"/>
                    <w:right w:val="none" w:sz="0" w:space="0" w:color="auto"/>
                  </w:divBdr>
                  <w:divsChild>
                    <w:div w:id="883175778">
                      <w:marLeft w:val="0"/>
                      <w:marRight w:val="0"/>
                      <w:marTop w:val="0"/>
                      <w:marBottom w:val="0"/>
                      <w:divBdr>
                        <w:top w:val="none" w:sz="0" w:space="0" w:color="auto"/>
                        <w:left w:val="none" w:sz="0" w:space="0" w:color="auto"/>
                        <w:bottom w:val="none" w:sz="0" w:space="0" w:color="auto"/>
                        <w:right w:val="none" w:sz="0" w:space="0" w:color="auto"/>
                      </w:divBdr>
                      <w:divsChild>
                        <w:div w:id="17354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506839">
      <w:bodyDiv w:val="1"/>
      <w:marLeft w:val="0"/>
      <w:marRight w:val="0"/>
      <w:marTop w:val="0"/>
      <w:marBottom w:val="0"/>
      <w:divBdr>
        <w:top w:val="none" w:sz="0" w:space="0" w:color="auto"/>
        <w:left w:val="none" w:sz="0" w:space="0" w:color="auto"/>
        <w:bottom w:val="none" w:sz="0" w:space="0" w:color="auto"/>
        <w:right w:val="none" w:sz="0" w:space="0" w:color="auto"/>
      </w:divBdr>
      <w:divsChild>
        <w:div w:id="799303925">
          <w:marLeft w:val="0"/>
          <w:marRight w:val="0"/>
          <w:marTop w:val="0"/>
          <w:marBottom w:val="0"/>
          <w:divBdr>
            <w:top w:val="none" w:sz="0" w:space="0" w:color="auto"/>
            <w:left w:val="none" w:sz="0" w:space="0" w:color="auto"/>
            <w:bottom w:val="none" w:sz="0" w:space="0" w:color="auto"/>
            <w:right w:val="none" w:sz="0" w:space="0" w:color="auto"/>
          </w:divBdr>
          <w:divsChild>
            <w:div w:id="1632637591">
              <w:marLeft w:val="0"/>
              <w:marRight w:val="0"/>
              <w:marTop w:val="0"/>
              <w:marBottom w:val="0"/>
              <w:divBdr>
                <w:top w:val="none" w:sz="0" w:space="0" w:color="auto"/>
                <w:left w:val="none" w:sz="0" w:space="0" w:color="auto"/>
                <w:bottom w:val="none" w:sz="0" w:space="0" w:color="auto"/>
                <w:right w:val="none" w:sz="0" w:space="0" w:color="auto"/>
              </w:divBdr>
            </w:div>
          </w:divsChild>
        </w:div>
        <w:div w:id="1880974699">
          <w:marLeft w:val="0"/>
          <w:marRight w:val="0"/>
          <w:marTop w:val="0"/>
          <w:marBottom w:val="0"/>
          <w:divBdr>
            <w:top w:val="none" w:sz="0" w:space="0" w:color="auto"/>
            <w:left w:val="none" w:sz="0" w:space="0" w:color="auto"/>
            <w:bottom w:val="none" w:sz="0" w:space="0" w:color="auto"/>
            <w:right w:val="none" w:sz="0" w:space="0" w:color="auto"/>
          </w:divBdr>
          <w:divsChild>
            <w:div w:id="952787043">
              <w:marLeft w:val="0"/>
              <w:marRight w:val="0"/>
              <w:marTop w:val="0"/>
              <w:marBottom w:val="0"/>
              <w:divBdr>
                <w:top w:val="none" w:sz="0" w:space="0" w:color="auto"/>
                <w:left w:val="none" w:sz="0" w:space="0" w:color="auto"/>
                <w:bottom w:val="none" w:sz="0" w:space="0" w:color="auto"/>
                <w:right w:val="none" w:sz="0" w:space="0" w:color="auto"/>
              </w:divBdr>
              <w:divsChild>
                <w:div w:id="979337213">
                  <w:marLeft w:val="0"/>
                  <w:marRight w:val="0"/>
                  <w:marTop w:val="0"/>
                  <w:marBottom w:val="0"/>
                  <w:divBdr>
                    <w:top w:val="none" w:sz="0" w:space="0" w:color="auto"/>
                    <w:left w:val="none" w:sz="0" w:space="0" w:color="auto"/>
                    <w:bottom w:val="none" w:sz="0" w:space="0" w:color="auto"/>
                    <w:right w:val="none" w:sz="0" w:space="0" w:color="auto"/>
                  </w:divBdr>
                </w:div>
              </w:divsChild>
            </w:div>
            <w:div w:id="2049259727">
              <w:marLeft w:val="0"/>
              <w:marRight w:val="0"/>
              <w:marTop w:val="0"/>
              <w:marBottom w:val="0"/>
              <w:divBdr>
                <w:top w:val="none" w:sz="0" w:space="0" w:color="auto"/>
                <w:left w:val="none" w:sz="0" w:space="0" w:color="auto"/>
                <w:bottom w:val="none" w:sz="0" w:space="0" w:color="auto"/>
                <w:right w:val="none" w:sz="0" w:space="0" w:color="auto"/>
              </w:divBdr>
              <w:divsChild>
                <w:div w:id="16666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44779">
          <w:marLeft w:val="0"/>
          <w:marRight w:val="0"/>
          <w:marTop w:val="0"/>
          <w:marBottom w:val="0"/>
          <w:divBdr>
            <w:top w:val="none" w:sz="0" w:space="0" w:color="auto"/>
            <w:left w:val="none" w:sz="0" w:space="0" w:color="auto"/>
            <w:bottom w:val="none" w:sz="0" w:space="0" w:color="auto"/>
            <w:right w:val="none" w:sz="0" w:space="0" w:color="auto"/>
          </w:divBdr>
          <w:divsChild>
            <w:div w:id="745496397">
              <w:marLeft w:val="0"/>
              <w:marRight w:val="0"/>
              <w:marTop w:val="0"/>
              <w:marBottom w:val="0"/>
              <w:divBdr>
                <w:top w:val="none" w:sz="0" w:space="0" w:color="auto"/>
                <w:left w:val="none" w:sz="0" w:space="0" w:color="auto"/>
                <w:bottom w:val="none" w:sz="0" w:space="0" w:color="auto"/>
                <w:right w:val="none" w:sz="0" w:space="0" w:color="auto"/>
              </w:divBdr>
              <w:divsChild>
                <w:div w:id="1744642612">
                  <w:marLeft w:val="0"/>
                  <w:marRight w:val="0"/>
                  <w:marTop w:val="0"/>
                  <w:marBottom w:val="0"/>
                  <w:divBdr>
                    <w:top w:val="none" w:sz="0" w:space="0" w:color="auto"/>
                    <w:left w:val="none" w:sz="0" w:space="0" w:color="auto"/>
                    <w:bottom w:val="none" w:sz="0" w:space="0" w:color="auto"/>
                    <w:right w:val="none" w:sz="0" w:space="0" w:color="auto"/>
                  </w:divBdr>
                </w:div>
              </w:divsChild>
            </w:div>
            <w:div w:id="1085492525">
              <w:marLeft w:val="0"/>
              <w:marRight w:val="0"/>
              <w:marTop w:val="0"/>
              <w:marBottom w:val="0"/>
              <w:divBdr>
                <w:top w:val="none" w:sz="0" w:space="0" w:color="auto"/>
                <w:left w:val="none" w:sz="0" w:space="0" w:color="auto"/>
                <w:bottom w:val="none" w:sz="0" w:space="0" w:color="auto"/>
                <w:right w:val="none" w:sz="0" w:space="0" w:color="auto"/>
              </w:divBdr>
              <w:divsChild>
                <w:div w:id="608778926">
                  <w:marLeft w:val="0"/>
                  <w:marRight w:val="0"/>
                  <w:marTop w:val="0"/>
                  <w:marBottom w:val="0"/>
                  <w:divBdr>
                    <w:top w:val="none" w:sz="0" w:space="0" w:color="auto"/>
                    <w:left w:val="none" w:sz="0" w:space="0" w:color="auto"/>
                    <w:bottom w:val="none" w:sz="0" w:space="0" w:color="auto"/>
                    <w:right w:val="none" w:sz="0" w:space="0" w:color="auto"/>
                  </w:divBdr>
                </w:div>
              </w:divsChild>
            </w:div>
            <w:div w:id="1113792307">
              <w:marLeft w:val="0"/>
              <w:marRight w:val="0"/>
              <w:marTop w:val="0"/>
              <w:marBottom w:val="0"/>
              <w:divBdr>
                <w:top w:val="none" w:sz="0" w:space="0" w:color="auto"/>
                <w:left w:val="none" w:sz="0" w:space="0" w:color="auto"/>
                <w:bottom w:val="none" w:sz="0" w:space="0" w:color="auto"/>
                <w:right w:val="none" w:sz="0" w:space="0" w:color="auto"/>
              </w:divBdr>
              <w:divsChild>
                <w:div w:id="930241194">
                  <w:marLeft w:val="0"/>
                  <w:marRight w:val="0"/>
                  <w:marTop w:val="0"/>
                  <w:marBottom w:val="0"/>
                  <w:divBdr>
                    <w:top w:val="none" w:sz="0" w:space="0" w:color="auto"/>
                    <w:left w:val="none" w:sz="0" w:space="0" w:color="auto"/>
                    <w:bottom w:val="none" w:sz="0" w:space="0" w:color="auto"/>
                    <w:right w:val="none" w:sz="0" w:space="0" w:color="auto"/>
                  </w:divBdr>
                </w:div>
              </w:divsChild>
            </w:div>
            <w:div w:id="1247231956">
              <w:marLeft w:val="0"/>
              <w:marRight w:val="0"/>
              <w:marTop w:val="0"/>
              <w:marBottom w:val="0"/>
              <w:divBdr>
                <w:top w:val="none" w:sz="0" w:space="0" w:color="auto"/>
                <w:left w:val="none" w:sz="0" w:space="0" w:color="auto"/>
                <w:bottom w:val="none" w:sz="0" w:space="0" w:color="auto"/>
                <w:right w:val="none" w:sz="0" w:space="0" w:color="auto"/>
              </w:divBdr>
              <w:divsChild>
                <w:div w:id="1847553634">
                  <w:marLeft w:val="0"/>
                  <w:marRight w:val="0"/>
                  <w:marTop w:val="0"/>
                  <w:marBottom w:val="0"/>
                  <w:divBdr>
                    <w:top w:val="none" w:sz="0" w:space="0" w:color="auto"/>
                    <w:left w:val="none" w:sz="0" w:space="0" w:color="auto"/>
                    <w:bottom w:val="none" w:sz="0" w:space="0" w:color="auto"/>
                    <w:right w:val="none" w:sz="0" w:space="0" w:color="auto"/>
                  </w:divBdr>
                </w:div>
              </w:divsChild>
            </w:div>
            <w:div w:id="1490245851">
              <w:marLeft w:val="0"/>
              <w:marRight w:val="0"/>
              <w:marTop w:val="0"/>
              <w:marBottom w:val="0"/>
              <w:divBdr>
                <w:top w:val="none" w:sz="0" w:space="0" w:color="auto"/>
                <w:left w:val="none" w:sz="0" w:space="0" w:color="auto"/>
                <w:bottom w:val="none" w:sz="0" w:space="0" w:color="auto"/>
                <w:right w:val="none" w:sz="0" w:space="0" w:color="auto"/>
              </w:divBdr>
              <w:divsChild>
                <w:div w:id="983123932">
                  <w:marLeft w:val="0"/>
                  <w:marRight w:val="0"/>
                  <w:marTop w:val="0"/>
                  <w:marBottom w:val="0"/>
                  <w:divBdr>
                    <w:top w:val="none" w:sz="0" w:space="0" w:color="auto"/>
                    <w:left w:val="none" w:sz="0" w:space="0" w:color="auto"/>
                    <w:bottom w:val="none" w:sz="0" w:space="0" w:color="auto"/>
                    <w:right w:val="none" w:sz="0" w:space="0" w:color="auto"/>
                  </w:divBdr>
                  <w:divsChild>
                    <w:div w:id="1381251581">
                      <w:marLeft w:val="0"/>
                      <w:marRight w:val="0"/>
                      <w:marTop w:val="0"/>
                      <w:marBottom w:val="0"/>
                      <w:divBdr>
                        <w:top w:val="none" w:sz="0" w:space="0" w:color="auto"/>
                        <w:left w:val="none" w:sz="0" w:space="0" w:color="auto"/>
                        <w:bottom w:val="none" w:sz="0" w:space="0" w:color="auto"/>
                        <w:right w:val="none" w:sz="0" w:space="0" w:color="auto"/>
                      </w:divBdr>
                      <w:divsChild>
                        <w:div w:id="1238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83773">
                  <w:marLeft w:val="0"/>
                  <w:marRight w:val="0"/>
                  <w:marTop w:val="0"/>
                  <w:marBottom w:val="0"/>
                  <w:divBdr>
                    <w:top w:val="none" w:sz="0" w:space="0" w:color="auto"/>
                    <w:left w:val="none" w:sz="0" w:space="0" w:color="auto"/>
                    <w:bottom w:val="none" w:sz="0" w:space="0" w:color="auto"/>
                    <w:right w:val="none" w:sz="0" w:space="0" w:color="auto"/>
                  </w:divBdr>
                  <w:divsChild>
                    <w:div w:id="1180578979">
                      <w:marLeft w:val="0"/>
                      <w:marRight w:val="0"/>
                      <w:marTop w:val="0"/>
                      <w:marBottom w:val="0"/>
                      <w:divBdr>
                        <w:top w:val="none" w:sz="0" w:space="0" w:color="auto"/>
                        <w:left w:val="none" w:sz="0" w:space="0" w:color="auto"/>
                        <w:bottom w:val="none" w:sz="0" w:space="0" w:color="auto"/>
                        <w:right w:val="none" w:sz="0" w:space="0" w:color="auto"/>
                      </w:divBdr>
                      <w:divsChild>
                        <w:div w:id="4872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8209">
                  <w:marLeft w:val="0"/>
                  <w:marRight w:val="0"/>
                  <w:marTop w:val="0"/>
                  <w:marBottom w:val="0"/>
                  <w:divBdr>
                    <w:top w:val="none" w:sz="0" w:space="0" w:color="auto"/>
                    <w:left w:val="none" w:sz="0" w:space="0" w:color="auto"/>
                    <w:bottom w:val="none" w:sz="0" w:space="0" w:color="auto"/>
                    <w:right w:val="none" w:sz="0" w:space="0" w:color="auto"/>
                  </w:divBdr>
                  <w:divsChild>
                    <w:div w:id="2120829306">
                      <w:marLeft w:val="0"/>
                      <w:marRight w:val="0"/>
                      <w:marTop w:val="0"/>
                      <w:marBottom w:val="0"/>
                      <w:divBdr>
                        <w:top w:val="none" w:sz="0" w:space="0" w:color="auto"/>
                        <w:left w:val="none" w:sz="0" w:space="0" w:color="auto"/>
                        <w:bottom w:val="none" w:sz="0" w:space="0" w:color="auto"/>
                        <w:right w:val="none" w:sz="0" w:space="0" w:color="auto"/>
                      </w:divBdr>
                      <w:divsChild>
                        <w:div w:id="16068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630001">
              <w:marLeft w:val="0"/>
              <w:marRight w:val="0"/>
              <w:marTop w:val="0"/>
              <w:marBottom w:val="0"/>
              <w:divBdr>
                <w:top w:val="none" w:sz="0" w:space="0" w:color="auto"/>
                <w:left w:val="none" w:sz="0" w:space="0" w:color="auto"/>
                <w:bottom w:val="none" w:sz="0" w:space="0" w:color="auto"/>
                <w:right w:val="none" w:sz="0" w:space="0" w:color="auto"/>
              </w:divBdr>
              <w:divsChild>
                <w:div w:id="567422585">
                  <w:marLeft w:val="0"/>
                  <w:marRight w:val="0"/>
                  <w:marTop w:val="0"/>
                  <w:marBottom w:val="0"/>
                  <w:divBdr>
                    <w:top w:val="none" w:sz="0" w:space="0" w:color="auto"/>
                    <w:left w:val="none" w:sz="0" w:space="0" w:color="auto"/>
                    <w:bottom w:val="none" w:sz="0" w:space="0" w:color="auto"/>
                    <w:right w:val="none" w:sz="0" w:space="0" w:color="auto"/>
                  </w:divBdr>
                  <w:divsChild>
                    <w:div w:id="611281384">
                      <w:marLeft w:val="0"/>
                      <w:marRight w:val="0"/>
                      <w:marTop w:val="0"/>
                      <w:marBottom w:val="0"/>
                      <w:divBdr>
                        <w:top w:val="none" w:sz="0" w:space="0" w:color="auto"/>
                        <w:left w:val="none" w:sz="0" w:space="0" w:color="auto"/>
                        <w:bottom w:val="none" w:sz="0" w:space="0" w:color="auto"/>
                        <w:right w:val="none" w:sz="0" w:space="0" w:color="auto"/>
                      </w:divBdr>
                      <w:divsChild>
                        <w:div w:id="98076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89597">
                  <w:marLeft w:val="0"/>
                  <w:marRight w:val="0"/>
                  <w:marTop w:val="0"/>
                  <w:marBottom w:val="0"/>
                  <w:divBdr>
                    <w:top w:val="none" w:sz="0" w:space="0" w:color="auto"/>
                    <w:left w:val="none" w:sz="0" w:space="0" w:color="auto"/>
                    <w:bottom w:val="none" w:sz="0" w:space="0" w:color="auto"/>
                    <w:right w:val="none" w:sz="0" w:space="0" w:color="auto"/>
                  </w:divBdr>
                  <w:divsChild>
                    <w:div w:id="413204960">
                      <w:marLeft w:val="0"/>
                      <w:marRight w:val="0"/>
                      <w:marTop w:val="0"/>
                      <w:marBottom w:val="0"/>
                      <w:divBdr>
                        <w:top w:val="none" w:sz="0" w:space="0" w:color="auto"/>
                        <w:left w:val="none" w:sz="0" w:space="0" w:color="auto"/>
                        <w:bottom w:val="none" w:sz="0" w:space="0" w:color="auto"/>
                        <w:right w:val="none" w:sz="0" w:space="0" w:color="auto"/>
                      </w:divBdr>
                      <w:divsChild>
                        <w:div w:id="9426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85711">
              <w:marLeft w:val="0"/>
              <w:marRight w:val="0"/>
              <w:marTop w:val="0"/>
              <w:marBottom w:val="0"/>
              <w:divBdr>
                <w:top w:val="none" w:sz="0" w:space="0" w:color="auto"/>
                <w:left w:val="none" w:sz="0" w:space="0" w:color="auto"/>
                <w:bottom w:val="none" w:sz="0" w:space="0" w:color="auto"/>
                <w:right w:val="none" w:sz="0" w:space="0" w:color="auto"/>
              </w:divBdr>
              <w:divsChild>
                <w:div w:id="13327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008">
      <w:bodyDiv w:val="1"/>
      <w:marLeft w:val="0"/>
      <w:marRight w:val="0"/>
      <w:marTop w:val="0"/>
      <w:marBottom w:val="0"/>
      <w:divBdr>
        <w:top w:val="none" w:sz="0" w:space="0" w:color="auto"/>
        <w:left w:val="none" w:sz="0" w:space="0" w:color="auto"/>
        <w:bottom w:val="none" w:sz="0" w:space="0" w:color="auto"/>
        <w:right w:val="none" w:sz="0" w:space="0" w:color="auto"/>
      </w:divBdr>
      <w:divsChild>
        <w:div w:id="945190454">
          <w:marLeft w:val="0"/>
          <w:marRight w:val="0"/>
          <w:marTop w:val="0"/>
          <w:marBottom w:val="0"/>
          <w:divBdr>
            <w:top w:val="none" w:sz="0" w:space="0" w:color="auto"/>
            <w:left w:val="none" w:sz="0" w:space="0" w:color="auto"/>
            <w:bottom w:val="none" w:sz="0" w:space="0" w:color="auto"/>
            <w:right w:val="none" w:sz="0" w:space="0" w:color="auto"/>
          </w:divBdr>
          <w:divsChild>
            <w:div w:id="1498111237">
              <w:marLeft w:val="0"/>
              <w:marRight w:val="0"/>
              <w:marTop w:val="0"/>
              <w:marBottom w:val="0"/>
              <w:divBdr>
                <w:top w:val="none" w:sz="0" w:space="0" w:color="auto"/>
                <w:left w:val="none" w:sz="0" w:space="0" w:color="auto"/>
                <w:bottom w:val="none" w:sz="0" w:space="0" w:color="auto"/>
                <w:right w:val="none" w:sz="0" w:space="0" w:color="auto"/>
              </w:divBdr>
            </w:div>
          </w:divsChild>
        </w:div>
        <w:div w:id="1204512885">
          <w:marLeft w:val="0"/>
          <w:marRight w:val="0"/>
          <w:marTop w:val="0"/>
          <w:marBottom w:val="0"/>
          <w:divBdr>
            <w:top w:val="none" w:sz="0" w:space="0" w:color="auto"/>
            <w:left w:val="none" w:sz="0" w:space="0" w:color="auto"/>
            <w:bottom w:val="none" w:sz="0" w:space="0" w:color="auto"/>
            <w:right w:val="none" w:sz="0" w:space="0" w:color="auto"/>
          </w:divBdr>
          <w:divsChild>
            <w:div w:id="737436601">
              <w:marLeft w:val="0"/>
              <w:marRight w:val="0"/>
              <w:marTop w:val="0"/>
              <w:marBottom w:val="0"/>
              <w:divBdr>
                <w:top w:val="none" w:sz="0" w:space="0" w:color="auto"/>
                <w:left w:val="none" w:sz="0" w:space="0" w:color="auto"/>
                <w:bottom w:val="none" w:sz="0" w:space="0" w:color="auto"/>
                <w:right w:val="none" w:sz="0" w:space="0" w:color="auto"/>
              </w:divBdr>
            </w:div>
          </w:divsChild>
        </w:div>
        <w:div w:id="1669283249">
          <w:marLeft w:val="0"/>
          <w:marRight w:val="0"/>
          <w:marTop w:val="0"/>
          <w:marBottom w:val="0"/>
          <w:divBdr>
            <w:top w:val="none" w:sz="0" w:space="0" w:color="auto"/>
            <w:left w:val="none" w:sz="0" w:space="0" w:color="auto"/>
            <w:bottom w:val="none" w:sz="0" w:space="0" w:color="auto"/>
            <w:right w:val="none" w:sz="0" w:space="0" w:color="auto"/>
          </w:divBdr>
          <w:divsChild>
            <w:div w:id="17814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n-document xmlns:xsd="http://www.w3.org/2001/XMLSchema" xmlns:xsi="http://www.w3.org/2001/XMLSchema-instance" guid="0" synced="true" validated="true">
  <n-docbody>
    <standard.doc precedenttype="agreement">
      <prelim>
        <product.name>product.name0</product.name>
        <title>Investment agreement: non-leveraged investment</title>
        <author>Practical Law Corporate (based on the model documents prepared for the British Venture Capital Association)</author>
        <resource.type>Standard documents</resource.type>
        <juris>juris0</juris>
        <juris>juris1</juris>
      </prelim>
      <abstract>
        <para>
          <paratext>A form of subscription and shareholders agreement for use in connection with early round venture capital investments.</paratext>
        </para>
        <para>
          <paratext>
            For the provisions to be inserted into Schedule 7, see 
            <link href="5-203-2025" style="ACTLinkPLCtoPLC">
              <ital>Standard document, Deed of adherence: non-leveraged investments</ital>
            </link>
            . For a list of supplementary standard clauses to be used with the standard document, see 
            <link href="7-204-5036" style="ACTLinkPLCtoPLC">
              <ital>Practice note, Supplementary standard clauses: investment agreement: non-leveraged investment</ital>
            </link>
            .
          </paratext>
        </para>
        <para>
          <paratext>
            For drafting notes to accompany this standard document, see 
            <link href="4-617-3035" style="ACTLinkPLCtoPLC">
              <ital>Practice note, Investment agreement: non-leveraged investment: drafting note</ital>
            </link>
            .
          </paratext>
        </para>
        <para>
          <paratext>
            <bold>This document is in the process of substantial review.</bold>
          </paratext>
        </para>
      </abstract>
      <toc.identifier hasToc="true"/>
      <body>
        <cover.sheet>
          <head align="left" preservecase="true">
            <headtext>Investment agreement: non-leveraged investment</headtext>
          </head>
          <party.name>The Investor</party.name>
          <AdditionalPartyType>
            <static.and>and</static.and>
            <party.name>The Founders</party.name>
          </AdditionalPartyType>
          <AdditionalPartyType>
            <static.and>and</static.and>
            <party.name>The Company</party.name>
          </AdditionalPartyType>
        </cover.sheet>
        <intro default="true">
          <intro.date>This agreement is dated [DATE]</intro.date>
        </intro>
        <parties>
          <head align="left" preservecase="true">
            <headtext>PARTIES</headtext>
          </head>
          <party executionmethod="contract" id="a708293" status="individual">
            <identifier>(1)</identifier>
            <defn.item>
              <defn>
                <para>
                  <paratext>
                    The person[s] whose name[s] and address[es] [is 
                    <bold>OR</bold>
                     are] set out in 
                    <internal.reference refid="a535130">Part 1</internal.reference>
                     of 
                    <internal.reference refid="a114201">Schedule 1</internal.reference>
                  </paratext>
                </para>
              </defn>
              <defn.term>Investor[s]</defn.term>
            </defn.item>
          </party>
          <party executionmethod="contract" id="a394682" status="individual">
            <identifier>(2)</identifier>
            <defn.item>
              <defn>
                <para>
                  <paratext>
                    The persons whose names and addresses are set out in 
                    <internal.reference refid="a354499">Part 2</internal.reference>
                     of 
                    <internal.reference refid="a114201">Schedule 1</internal.reference>
                    .
                  </paratext>
                </para>
              </defn>
              <defn.term>Founders</defn.term>
            </defn.item>
          </party>
          <party executionmethod="contract" id="a114157" status="individual">
            <identifier>(3)</identifier>
            <defn.item>
              <defn>
                <para>
                  <paratext>[FULL COMPANY NAME] incorporated and registered in England and Wales with company number [NUMBER] whose registered office is at [REGISTERED OFFICE ADDRESS]</paratext>
                </para>
              </defn>
              <defn.term>Company</defn.term>
            </defn.item>
          </party>
        </parties>
        <recitals>
          <head align="left" preservecase="true">
            <headtext>BACKGROUND</headtext>
          </head>
          <clause id="a247338">
            <identifier>(A)</identifier>
            <para>
              <paratext>
                The Company is a private company limited by shares, brief particulars of which are set out in 
                <internal.reference refid="a437669">Part 1</internal.reference>
                 of 
                <internal.reference refid="a452926">Schedule 2</internal.reference>
                .
              </paratext>
            </para>
          </clause>
          <clause condition="optional" id="a379154">
            <identifier>(B)</identifier>
            <para>
              <paratext>
                The Founders are interested in the number of shares set out against their respective names in 
                <internal.reference refid="a354499">Part 2</internal.reference>
                 of 
                <internal.reference refid="a114201">Schedule 1</internal.reference>
                .
              </paratext>
            </para>
          </clause>
          <clause id="a589060">
            <identifier>(C)</identifier>
            <para>
              <paratext>The Investor has agreed to subscribe for shares in the capital of the Company on and subject to the terms of this agreement.</paratext>
            </para>
          </clause>
        </recitals>
        <operative xrefname="clause">
          <head align="left" preservecase="true">
            <headtext>Agreed terms</headtext>
          </head>
          <clause id="a201616">
            <identifier>1.</identifier>
            <head align="left" preservecase="true">
              <headtext>Interpretation</headtext>
            </head>
            <subclause1 id="a593283">
              <identifier>1.1</identifier>
              <para>
                <paratext>The following definitions and rules of interpretation apply in this agreement.</paratext>
              </para>
              <defn.item id="a929179">
                <defn.term>Accounts</defn.term>
                <defn>
                  <para>
                    <paratext>the [audited] [consolidated] balance sheet and profit and loss account of the Company [and its Subsidiaries] for the period ended on the Accounts Date, in the agreed form.</paratext>
                  </para>
                </defn>
              </defn.item>
              <defn.item id="a936485">
                <defn.term>Accounts Date</defn.term>
                <defn>
                  <para>
                    <paratext>[DATE].</paratext>
                  </para>
                  <para>
                    <paratext>
                      <bold>Act</bold>
                      : the Companies Act 2006.
                    </paratext>
                  </para>
                </defn>
              </defn.item>
              <defn.item id="a362430">
                <defn.term>Articles</defn.term>
                <defn>
                  <para>
                    <paratext>the new articles of association of the Company in the agreed form to be adopted by the Company on or prior to Completion.</paratext>
                  </para>
                </defn>
              </defn.item>
              <defn.item id="a526697">
                <defn.term>Board</defn.term>
                <defn>
                  <para>
                    <paratext>the board of directors of the Company as constituted from time to time.</paratext>
                  </para>
                </defn>
              </defn.item>
              <defn.item id="a610021">
                <defn.term>Business Day</defn.term>
                <defn>
                  <para>
                    <paratext>a day other than a Saturday, Sunday or public holiday in England when banks in London are open for business.</paratext>
                  </para>
                </defn>
              </defn.item>
              <defn.item id="a706222">
                <defn.term>Business Plan</defn.term>
                <defn>
                  <para>
                    <paratext>the business plan of the Company dated [DATE] in the agreed form.</paratext>
                  </para>
                </defn>
              </defn.item>
              <defn.item id="a964658">
                <defn.term>Claim</defn.term>
                <defn>
                  <para>
                    <paratext>any claim for breach of any Warranty.</paratext>
                  </para>
                </defn>
              </defn.item>
              <defn.item id="a911925">
                <defn.term>Company's Solicitors</defn.term>
                <defn>
                  <para>
                    <paratext>[DETAILS].</paratext>
                  </para>
                </defn>
              </defn.item>
              <defn.item id="a254651">
                <defn.term>Completion</defn.term>
                <defn>
                  <para>
                    <paratext>
                      completion by the parties of their respective obligations under 
                      <internal.reference refid="a308748">clause 3</internal.reference>
                      .
                    </paratext>
                  </para>
                </defn>
              </defn.item>
              <defn.item id="a185553">
                <defn.term>Completion Date</defn.term>
                <defn>
                  <para>
                    <paratext>
                      [[DATE] 
                      <bold>OR</bold>
                       the date on which Completion occurs].
                    </paratext>
                  </para>
                </defn>
              </defn.item>
              <defn.item condition="optional" id="a574950">
                <defn.term>Conditions</defn.term>
                <defn>
                  <para>
                    <paratext>
                      the conditions to Completion set out in 
                      <internal.reference refid="a539953">Schedule 3</internal.reference>
                      .
                    </paratext>
                  </para>
                </defn>
              </defn.item>
              <defn.item id="a453819">
                <defn.term>Costs</defn.term>
                <defn>
                  <para>
                    <paratext>any liabilities, losses, damages, awards, costs (including legal fees), claims and expenses.</paratext>
                  </para>
                  <para>
                    <paratext>
                      <bold>Data Protection Legislation</bold>
                      : the UK Data Protection Legislation and (for so long and to the extent that the law of the European Union has legal effect in the United Kingdom) the General Data Protection Regulation ((EU) 2016/679) and any other directly applicable European Union regulation relating to data protection and privacy.
                    </paratext>
                  </para>
                </defn>
                <drafting.note id="a727103" jurisdiction="">
                  <head align="left" preservecase="true">
                    <headtext>Data Protection Legislation</headtext>
                  </head>
                  <division id="a000002" level="1">
                    <para>
                      <paratext>This defined term incorporates a broad definition of data protection legislation, which aims to capture any data protection and privacy legislation to which the company may be, or have been, subject.</paratext>
                    </para>
                  </division>
                </drafting.note>
              </defn.item>
              <defn.item id="a900701">
                <defn.term>Deed of Adherence</defn.term>
                <defn>
                  <para>
                    <paratext>
                      the deed of adherence in the form set out in 
                      <internal.reference refid="a179636">Schedule 7</internal.reference>
                      .
                    </paratext>
                  </para>
                </defn>
              </defn.item>
              <defn.item id="a841473">
                <defn.term>Disclosed</defn.term>
                <defn>
                  <para>
                    <paratext>[fully, accurately, clearly and] fairly disclosed [or deemed to have been Disclosed] in the Disclosure Letter with sufficient explanation and detail to identify the nature, scope and full implications of the matters disclosed.</paratext>
                  </para>
                </defn>
              </defn.item>
              <defn.item id="a191825">
                <defn.term>Disclosure Letter</defn.term>
                <defn>
                  <para>
                    <paratext>
                      the letter from the [Company
                      <bold> OR </bold>
                      Warrantors] to the Investor, executed and delivered immediately before Completion [together with the bundle of documents attached to it (
                      <defn.term>Disclosure Bundle</defn.term>
                      ) each] in the agreed form.
                    </paratext>
                  </para>
                </defn>
              </defn.item>
              <defn.item id="a207340">
                <defn.term>DPA 1998</defn.term>
                <defn>
                  <para>
                    <paratext>the Data Protection Act 1998.</paratext>
                  </para>
                </defn>
              </defn.item>
              <defn.item id="a173620">
                <defn.term>Encumbrance</defn.term>
                <defn>
                  <para>
                    <paratext>any mortgage, charge, security interest, lien, pledge, assignment by way of security, equity claim, right of pre-emption, option, covenant, restriction, reservation, lease, trust, order, decree, judgment, title defect (including retention of title claim), conflicting claim of ownership or any other encumbrance of any nature whatsoever (whether or not perfected) other than liens arising by operation of law.</paratext>
                  </para>
                </defn>
              </defn.item>
              <defn.item id="a394727">
                <defn.term>Exit</defn.term>
                <defn>
                  <para>
                    <paratext/>
                  </para>
                  <list type="loweralpha">
                    <list.item>
                      <para>
                        <paratext>a Listing; or</paratext>
                      </para>
                    </list.item>
                    <list.item>
                      <para>
                        <paratext>Sale; or</paratext>
                      </para>
                    </list.item>
                    <list.item>
                      <para>
                        <paratext>a disposal by the Company of all, or a substantial part of, its business and assets.</paratext>
                      </para>
                    </list.item>
                  </list>
                </defn>
              </defn.item>
              <defn.item id="a892574">
                <defn.term>acting in concert</defn.term>
                <defn>
                  <para>
                    <paratext>
                      shall be construed in accordance with the City Code on Takeovers and Mergers, and 
                      <defn.term>controlling interest</defn.term>
                      :  shall mean an interest in shares giving the holder of those shares control of the Company within the meaning of section 840, ICTA.
                    </paratext>
                  </para>
                </defn>
              </defn.item>
              <defn.item id="a113452">
                <defn.term>Founder</defn.term>
                <defn>
                  <para>
                    <paratext>
                      the persons listed in column 1 of 
                      <internal.reference refid="a114201">Schedule 1</internal.reference>
                      .
                    </paratext>
                  </para>
                  <para>
                    <paratext>
                      <bold>GDPR</bold>
                      : the General Data Protection Regulation (
                      <ital>(EU) 2016/679</ital>
                      ).
                    </paratext>
                  </para>
                </defn>
              </defn.item>
              <defn.item condition="optional" id="a335768">
                <defn.term>Group Companies</defn.term>
                <defn>
                  <para>
                    <paratext>
                      the Company and each and any of its Subsidiaries for the time being and 
                      <defn.term>Group Company</defn.term>
                      :  shall be construed accordingly.
                    </paratext>
                  </para>
                </defn>
              </defn.item>
              <defn.item id="a399123">
                <defn.term>ICTA</defn.term>
                <defn>
                  <para>
                    <paratext>Income and Corporation Taxes Act 1988.</paratext>
                  </para>
                </defn>
              </defn.item>
              <defn.item id="a270397">
                <defn.term>Intellectual Property</defn.term>
                <defn>
                  <para>
                    <paratext>patents, rights to inventions, utility models, copyright, trade marks, service marks, trade, business and domain names, rights in trade dress or get-up, rights in goodwill or to sue for passing off, unfair competition rights, rights in designs, rights in computer software, database rights, topography rights, moral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paratext>
                  </para>
                </defn>
              </defn.item>
              <defn.item id="a344458">
                <defn.term>Investor Directors</defn.term>
                <defn>
                  <para>
                    <paratext>
                      the directors appointed by the Investor in accordance with 
                      <internal.reference refid="a689470">clause 7.3(a)</internal.reference>
                      , and 
                      <defn.term>Investor Director</defn.term>
                      :  means any one of them.
                    </paratext>
                  </para>
                </defn>
              </defn.item>
              <defn.item id="a265793">
                <defn.term>Investor Director Consent</defn.term>
                <defn>
                  <para>
                    <paratext>
                      the consent of [all 
                      <bold>OR</bold>
                       [NUMBER] 
                      <bold>OR</bold>
                       a majority] of the Investor Directors.
                    </paratext>
                  </para>
                </defn>
              </defn.item>
              <defn.item id="a461086">
                <defn.term>Investor's Solicitors</defn.term>
                <defn>
                  <para>
                    <paratext>[DETAILS].</paratext>
                  </para>
                </defn>
              </defn.item>
              <defn.item condition="optional" id="a948126">
                <defn.term>IP Assignment</defn.term>
                <defn>
                  <para>
                    <paratext>the deed of assignment between the Founders and the Company in the agreed form.</paratext>
                  </para>
                </defn>
              </defn.item>
              <defn.item id="a939150">
                <defn.term>ITEPA</defn.term>
                <defn>
                  <para>
                    <paratext>Income Tax (Earnings and Pensions) Act 2003.</paratext>
                  </para>
                </defn>
              </defn.item>
              <defn.item id="a161988">
                <defn.term>Listing</defn.term>
                <defn>
                  <para>
                    <paratext>the successful application and admission of all or any of the shares in the capital of the Company, or securities representing such shares (including American depositary receipts, American depositary shares and/or other instruments to the Official List of the UK Listing Authority or on the AIM market operated by the London Stock Exchange plc, or the Nasdaq National Stock Market of the Nasdaq Stock Market Inc or to any recognised investment exchange (as defined in section 285 of the Financial Services and Markets Act 2000 (as amended)).</paratext>
                  </para>
                </defn>
              </defn.item>
              <defn.item id="a234247">
                <defn.term>Listing Rules</defn.term>
                <defn>
                  <para>
                    <paratext>the Listing Rules of the UK Listing Authority made under section 73(A) of the Financial Services and Markets Act 2000 (as amended) or any analogous listing rules governing the listing of shares in the jurisdiction where a Listing is proposed.</paratext>
                  </para>
                </defn>
              </defn.item>
              <defn.item condition="optional" id="a279393">
                <defn.term>Management Accounts</defn.term>
                <defn>
                  <para>
                    <paratext>the unaudited management accounts of the Company [and of each Subsidiary], comprising a balance sheet as at [DATE] and a profit and loss account for the period which commenced on the Accounts Date and ended on [DATE], a copy of which is annexed to the Disclosure Letter.</paratext>
                  </para>
                </defn>
              </defn.item>
              <defn.item id="a832747">
                <defn.term>Ordinary Shares</defn.term>
                <defn>
                  <para>
                    <paratext>the ordinary shares of £[AMOUNT] each in the capital of the Company, which have the rights set out in the Articles.</paratext>
                  </para>
                </defn>
              </defn.item>
              <defn.item condition="optional" id="a201867">
                <defn.term>Permitted Transfer</defn.term>
                <defn>
                  <para>
                    <paratext>has the meaning set out in the Articles.</paratext>
                  </para>
                </defn>
              </defn.item>
              <defn.item condition="optional" id="a672104">
                <defn.term>Permitted Transferee</defn.term>
                <defn>
                  <para>
                    <paratext>has the meaning given in the Articles.</paratext>
                  </para>
                  <para>
                    <paratext>
                      <bold>Personal Data</bold>
                      : has the meaning given in [the DPA 1988 
                      <bold>OR </bold>
                      Article 4(1) of the GDPR].
                    </paratext>
                  </para>
                </defn>
                <drafting.note id="a928505" jurisdiction="">
                  <head align="left" preservecase="true">
                    <headtext>Personal data</headtext>
                  </head>
                  <division id="a000003" level="1">
                    <para>
                      <paratext>
                        The GDPR defines personal data as any information relating to an identified or identifiable natural person (a data subject). A person is identifiable if they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
                        <ital>Article 4(1)</ital>
                        ).
                      </paratext>
                    </para>
                    <para>
                      <paratext>For further information on the scope of this definition, see Practice notes:</paratext>
                    </para>
                    <list type="bulleted">
                      <list.item>
                        <para>
                          <paratext>
                            <link anchor="a786100" href="w-007-9580" style="ACTLinkPLCtoPLC">
                              <ital>Overview of EU General Data Protection Regulation: Personal data and data subjects</ital>
                            </link>
                            .
                          </paratext>
                        </para>
                      </list.item>
                      <list.item>
                        <para>
                          <paratext>
                            <link anchor="a717876" href="w-013-3757" style="ACTLinkPLCtoPLC">
                              <ital>Overview of EU General Data Protection Regulation: UK perspective: Personal data</ital>
                            </link>
                            .
                          </paratext>
                        </para>
                      </list.item>
                    </list>
                  </division>
                </drafting.note>
              </defn.item>
              <defn.item id="a369098">
                <defn.term>Preference Shares</defn.term>
                <defn>
                  <para>
                    <paratext>the [series A] [cumulative] [convertible] [redeemable] preference shares of £[AMOUNT] each in the capital of the Company, which have the rights set out in the Articles.</paratext>
                  </para>
                  <para>
                    <paratext>
                      <bold>Processor</bold>
                      : has the meaning given in 
                      <internal.reference refid="a321562">paragraph 11.5</internal.reference>
                       of Schedule 5.
                    </paratext>
                  </para>
                </defn>
              </defn.item>
              <defn.item condition="optional" id="a924148">
                <defn.term>Properties</defn.term>
                <defn>
                  <para>
                    <paratext>
                      the properties described in 
                      <internal.reference refid="a242123">Schedule 6</internal.reference>
                      .
                    </paratext>
                  </para>
                  <para>
                    <paratext>
                      <bold>"Relevant Change Letter"</bold>
                       means each letter in the agreed form informing the Company that Completion will result in a relevant change (as defined in section 790E(3) of the Act);]
                    </paratext>
                  </para>
                </defn>
                <drafting.note id="a288092" jurisdiction="">
                  <head align="left" preservecase="true">
                    <headtext>Relevant Change Letter</headtext>
                  </head>
                  <division id="a000004" level="1">
                    <para>
                      <paratext>
                        See 
                        <internal.reference refid="a858103">Drafting note, Delivery of Relevant Change Letters</internal.reference>
                        .
                      </paratext>
                    </para>
                  </division>
                </drafting.note>
              </defn.item>
              <defn.item id="a644033">
                <defn.term>Relevant Period: the period of [NUMBER] months immediately before the Termination Date.</defn.term>
                <defn>
                  <para>
                    <paratext/>
                  </para>
                </defn>
              </defn.item>
              <defn.item id="a105358">
                <defn.term>Resolutions</defn.term>
                <defn>
                  <para>
                    <paratext>
                      the resolutions, in the agreed form, to be passed by the Company [at a duly convened general meeting [convened at short notice] 
                      <bold>OR</bold>
                       by shareholders' written resolution] [as specified in 
                      <internal.reference refid="a645750">paragraph 2</internal.reference>
                       of 
                      <internal.reference refid="a539953">Schedule 3</internal.reference>
                      ].
                    </paratext>
                  </para>
                </defn>
              </defn.item>
              <defn.item id="a530666">
                <defn.term>Sale</defn.term>
                <defn>
                  <para>
                    <paratext>a sale (or the grant of a right to acquire or dispose of) any of the shares in the capital of the Company (in one transaction or a series of transactions) which will result in the buyer of those shares (or grantee of that right) and persons acting in concert with him together acquiring a controlling interest in the Company, except where the shareholders and the proportion of Shares held by each of them following completion of the sale are the same as the shareholders and their shareholdings in the Company immediately before the sale.</paratext>
                  </para>
                </defn>
              </defn.item>
              <defn.item condition="optional" id="a244214">
                <defn.term>Service Agreements</defn.term>
                <defn>
                  <para>
                    <paratext>
                      the service agreements, in the agreed form, to be executed and entered into between the Company and [each of the Founders 
                      <bold>OR</bold>
                       [NAMES]].
                    </paratext>
                  </para>
                </defn>
              </defn.item>
              <defn.item id="a479907">
                <defn.term>Shareholders</defn.term>
                <defn>
                  <para>
                    <paratext>a holder of shares in the Company who is (or becomes) a party to this agreement by executing a Deed of Adherence.</paratext>
                  </para>
                </defn>
              </defn.item>
              <defn.item id="a997232">
                <defn.term>Shares</defn.term>
                <defn>
                  <para>
                    <paratext>the Ordinary Shares and the Preference Shares.</paratext>
                  </para>
                </defn>
              </defn.item>
              <defn.item condition="optional" id="a500981">
                <defn.term>Share Option Plan</defn.term>
                <defn>
                  <para>
                    <paratext>
                      the [enterprise management incentive plan 
                      <bold>OR</bold>
                       unapproved plan 
                      <bold>OR</bold>
                       approved plan], in the agreed form.
                    </paratext>
                  </para>
                </defn>
              </defn.item>
              <defn.item id="a532443">
                <defn.term>Subscription Shares</defn.term>
                <defn>
                  <para>
                    <paratext>
                      the [NUMBER] new [CLASS] shares to be subscribed by the Investor pursuant to 
                      <internal.reference refid="a500748">clause 2.1</internal.reference>
                      .
                    </paratext>
                  </para>
                </defn>
              </defn.item>
              <defn.item condition="optional" id="a274952">
                <defn.term>Subsidiary</defn.term>
                <defn>
                  <para>
                    <paratext>
                      a subsidiary of the Company, as defined in section 1159 of the Act, [brief particulars of which are set out in 
                      <internal.reference refid="a717441">Part 2</internal.reference>
                       of 
                      <internal.reference refid="a452926">Schedule 2</internal.reference>
                      ].
                    </paratext>
                  </para>
                  <para>
                    <paratext>
                      <bold>Supervisory Authority</bold>
                      : any local, national, supranational, state, governmental or quasi-governmental agency, body, department, board, official or entity exercising regulatory or supervisory authority pursuant to any Data Protection Legislation, including the Information Commissioner's Office in the UK.
                    </paratext>
                  </para>
                </defn>
                <drafting.note id="a839538" jurisdiction="">
                  <head align="left" preservecase="true">
                    <headtext>Supervisory Authority</headtext>
                  </head>
                  <division id="a000005" level="1">
                    <para>
                      <paratext>
                        This defined term is used in the data protection warranty in 
                        <internal.reference refid="a321562">paragraph 11.5</internal.reference>
                         of Schedule 5.
                      </paratext>
                    </para>
                    <para>
                      <paratext>
                        The GDPR requires all EU member states to establish one or more national data protection authorities with responsibility for monitoring and enforcing compliance with the GDPR (
                        <ital>Articles 51(1) and 54, GDPR</ital>
                        ). For further information, see 
                        <link anchor="a839638" href="w-005-2487" style="ACTLinkPLCtoPLC">
                          <ital>Practice note, EU General Data Protection Regulation: enforcement, sanctions and remedies: Independent national data protection authorities</ital>
                        </link>
                        . The authority in the UK is the Information Commissioner's Office (the ICO). For general background on the ICO and its data protection powers, see 
                        <link href="w-013-4146" style="ACTLinkPLCtoPLC">
                          <ital>Practice note, Information Commissioner's Office: enforcement powers overview</ital>
                        </link>
                        .
                      </paratext>
                    </para>
                  </division>
                </drafting.note>
              </defn.item>
              <defn.item id="a597515">
                <defn.term>Tax or Taxation</defn.term>
                <defn>
                  <para>
                    <paratext>all forms of taxation and statutory, governmental, state, federal, provincial, local, government or municipal charges, duties, imposts, contributions, levies, withholdings or liabilities wherever chargeable and whether of the UK or any other jurisdiction; and any penalty, fine, surcharge, interest, charges or costs relating thereto.</paratext>
                  </para>
                </defn>
              </defn.item>
              <defn.item id="a818397">
                <defn.term>Tax Warranties</defn.term>
                <defn>
                  <para>
                    <paratext>
                      the warranties set out in 
                      <internal.reference refid="a734241">paragraph 7</internal.reference>
                       of 
                      <internal.reference refid="a151368">Schedule 5</internal.reference>
                      .
                    </paratext>
                  </para>
                </defn>
              </defn.item>
              <defn.item id="a463417">
                <defn.term>Termination Date</defn.term>
                <defn>
                  <para>
                    <paratext>the date upon which the Founder concerned ceases to be a director or employee of or a consultant to, the Company whichever is the latest.</paratext>
                  </para>
                  <para>
                    <paratext>
                      <bold>UK Data Protection Legislation</bold>
                      : any data protection legislation from time to time in force in the United Kingdom including the DPA 1998 or any successor legislation.
                    </paratext>
                  </para>
                </defn>
              </defn.item>
              <defn.item id="a651009">
                <defn.term>Warranties</defn.term>
                <defn>
                  <para>
                    <paratext>
                      the warranties, representations and undertakings given pursuant to 
                      <internal.reference refid="a1031816">clause 4</internal.reference>
                      , and references to a particular 
                      <defn.term>Warranty</defn.term>
                      :  are to a warranty statement set out in 
                      <internal.reference refid="a151368">Schedule 5</internal.reference>
                      .
                    </paratext>
                  </para>
                </defn>
              </defn.item>
              <defn.item id="a246297">
                <defn.term>Warrantors</defn.term>
                <defn>
                  <para>
                    <paratext>
                      means [the Company and] each of [the Founders
                      <bold> OR</bold>
                       [LIST PERSONS GIVING WARRANTIES]].
                    </paratext>
                  </para>
                </defn>
              </defn.item>
            </subclause1>
            <subclause1 id="a824730">
              <identifier>1.2</identifier>
              <para>
                <paratext>Clause, Schedule and paragraph headings shall not affect the interpretation of this agreement.</paratext>
              </para>
              <drafting.note id="a281629" jurisdiction="">
                <head align="left" preservecase="true">
                  <headtext>Headings</headtext>
                </head>
                <division id="a000006" level="1">
                  <para>
                    <paratext>
                      See 
                      <link anchor="a159884" href="5-107-3795" style="ACTLinkPLCtoPLC">
                        <ital>Standard clause, Interpretation: Drafting note: Headings</ital>
                      </link>
                      .
                    </paratext>
                  </para>
                </division>
              </drafting.note>
            </subclause1>
            <subclause1 id="a616505">
              <identifier>1.3</identifier>
              <para>
                <paratext>References to clauses and Schedules are to clauses of and Schedules to this agreement and references to paragraphs are to paragraphs of the relevant Schedule.</paratext>
              </para>
              <drafting.note id="a927734" jurisdiction="">
                <head align="left" preservecase="true">
                  <headtext>Schedules</headtext>
                </head>
                <division id="a000007" level="1">
                  <para>
                    <paratext>
                      See 
                      <link anchor="a288060" href="5-107-3795" style="ACTLinkPLCtoPLC">
                        <ital>Standard clause, Interpretation: Drafting note: Schedules</ital>
                      </link>
                      .
                    </paratext>
                  </para>
                </division>
              </drafting.note>
            </subclause1>
            <subclause1 id="a547015">
              <identifier>1.4</identifier>
              <para>
                <paratext>The Schedules form part of this agreement and shall have effect as if set out in full in the body of this agreement. Any reference to this agreement includes the Schedules.</paratext>
              </para>
              <drafting.note id="a324286" jurisdiction="">
                <head align="left" preservecase="true">
                  <headtext>Incorporation of Schedules</headtext>
                </head>
                <division id="a000008" level="1">
                  <para>
                    <paratext>The purpose of clause 1.4 is to expressly incorporate the wording of the Schedules into the body of the agreement, thereby ensuring that they are given contractual effect. The parties will intend the Schedules to be treated as part of the agreement, rather than merely being ancillary to it. Incorporation may be implied where (as in this document) the signature blocks are placed after the Schedules, rather than immediately after the testimonium (the words "This agreement has been entered into..." at the end of the body of the document). Despite this, it is safer to expressly provide for incorporation of the Schedules.</paratext>
                  </para>
                </division>
              </drafting.note>
            </subclause1>
            <subclause1 id="a596377">
              <identifier>1.5</identifier>
              <para>
                <paratext>A reference to this agreement or to any other agreement or document referred to in this agreement is a reference to this agreement or such other agreement or document as varied or novated in accordance with its terms from time to time.</paratext>
              </para>
            </subclause1>
            <subclause1 condition="optional" id="a469855">
              <identifier>1.6</identifier>
              <para>
                <paratext>A reference in this agreement to other documents referred to in this agreement or any similar expression is a reference to the following documents:</paratext>
              </para>
              <subclause2 id="a513244">
                <identifier>(a)</identifier>
                <para>
                  <paratext>[SPECIFY ANY RELEVANT DOCUMENTS REFERRED TO].</paratext>
                </para>
              </subclause2>
              <subclause2 id="a286694">
                <identifier>(b)</identifier>
                <para>
                  <paratext>Unless the context otherwise requires, words in the singular shall include the plural and in the plural shall include the singular.</paratext>
                </para>
                <drafting.note id="a310897" jurisdiction="">
                  <head align="left" preservecase="true">
                    <headtext>Use of plural and singular</headtext>
                  </head>
                  <division id="a000009" level="1">
                    <para>
                      <paratext>
                        Strictly, this clause is unnecessary, as 
                        <link href="https://uk.practicallaw.thomsonreuters.com/5-507-1301?originationContext=document&amp;amp;transitionType=PLDocumentLink&amp;amp;contextData=%28sc.Default%29" style="ACTLinkURL">
                          <ital>section 61</ital>
                        </link>
                         of the Law of Property Act 1925 provides that the singular includes the plural and vice versa in all "
                        <ital>...deeds, contracts, wills, orders and other instruments executed, made or coming into operation after the commencement of this Act, unless the context otherwise requires</ital>
                        ". However, since the parties may not be aware of the existence of this statutory provision, this clause clarifies the position. It is important to consider whether it is appropriate for this rule to apply in all cases. If not, this must be made clear in the clause.
                      </paratext>
                    </para>
                  </division>
                </drafting.note>
              </subclause2>
            </subclause1>
            <subclause1 id="a617842">
              <identifier>1.7</identifier>
              <para>
                <paratext>Unless the context otherwise requires, a reference to one gender shall include a reference to the other genders.</paratext>
              </para>
              <drafting.note id="a535824" jurisdiction="">
                <head align="left" preservecase="true">
                  <headtext>Gender</headtext>
                </head>
                <division id="a000010" level="1">
                  <para>
                    <paratext>
                      <link href="https://uk.practicallaw.thomsonreuters.com/5-507-1301?originationContext=document&amp;amp;transitionType=PLDocumentLink&amp;amp;contextData=%28sc.Default%29" style="ACTLinkURL">
                        <ital>Section 61</ital>
                      </link>
                       of the Law of Property Act 1925 provides that "
                      <ital>the masculine includes the feminine and vice versa</ital>
                      ", but does not cover references to entities whose gender is neuter. Including this provision therefore avoids any argument. Note that the provision is qualified by the words "unless the context otherwise requires...". This reflects the wording of section 61.
                    </paratext>
                  </para>
                </division>
              </drafting.note>
            </subclause1>
            <subclause1 id="a580044">
              <identifier>1.8</identifier>
              <para>
                <paratext>
                  A 
                  <bold>person</bold>
                   includes a natural person, corporate or unincorporated body (whether or not having separate legal personality).
                </paratext>
              </para>
              <drafting.note id="a720200" jurisdiction="">
                <head align="left" preservecase="true">
                  <headtext>Person</headtext>
                </head>
                <division id="a000011" level="1">
                  <para>
                    <paratext>
                      Although 
                      <link href="https://uk.practicallaw.thomsonreuters.com/5-507-1301?originationContext=document&amp;amp;transitionType=PLDocumentLink&amp;amp;contextData=%28sc.Default%29" style="ACTLinkURL">
                        <ital>section 61</ital>
                      </link>
                       of the Law of Property Act 1925 (LPA 1925) provides that the term person includes a corporation, it may be desirable to give the term a wider meaning, encompassing unincorporated bodies capable of assuming legal obligations.
                    </paratext>
                  </para>
                </division>
              </drafting.note>
            </subclause1>
            <subclause1 id="a818169">
              <identifier>1.9</identifier>
              <para>
                <paratext>This agreement shall be binding on, and enure to the benefit of, the parties to this agreement and their respective personal representatives, successors and permitted assigns, and references to any party shall include that party's personal representatives, successors and permitted assigns.</paratext>
              </para>
              <drafting.note id="a746132" jurisdiction="">
                <head align="left" preservecase="true">
                  <headtext>Party</headtext>
                </head>
                <division id="a000012" level="1">
                  <para>
                    <paratext>
                      See clause 1.9 of 
                      <link anchor="a1020096" href="5-107-3795" style="ACTLinkPLCtoPLC">
                        <ital>Standard clause, Interpretation</ital>
                      </link>
                       and the related drafting notes.
                    </paratext>
                  </para>
                </division>
              </drafting.note>
            </subclause1>
            <subclause1 id="a429521">
              <identifier>1.10</identifier>
              <para>
                <paratext>
                  A reference to a 
                  <bold>company</bold>
                   shall include any company, corporation or other body corporate, wherever and however incorporated or established.
                </paratext>
              </para>
              <drafting.note id="a217550" jurisdiction="">
                <head align="left" preservecase="true">
                  <headtext>Company</headtext>
                </head>
                <division id="a000013" level="1">
                  <para>
                    <paratext>
                      See clause 1.5 of 
                      <link anchor="a541208" href="5-107-3795" style="ACTLinkPLCtoPLC">
                        <ital>Standard clause, Interpretation</ital>
                      </link>
                       and the related drafting notes.
                    </paratext>
                  </para>
                </division>
              </drafting.note>
            </subclause1>
            <subclause1 id="a162488">
              <identifier>1.11</identifier>
              <para>
                <paratext>
                  Unless expressly provided otherwise in this agreement ,a reference to 
                  <bold>writing</bold>
                   or 
                  <bold>written</bold>
                   [includes 
                  <bold>OR</bold>
                   excludes] [fax] [but not 
                  <bold>OR</bold>
                   and] [email].
                </paratext>
              </para>
              <drafting.note id="a306524" jurisdiction="">
                <head align="left" preservecase="true">
                  <headtext>Meaning of writing or written</headtext>
                </head>
                <division id="a000014" level="1">
                  <para>
                    <paratext>
                      If the agreement does not state whether fax or email is to be treated as writing, the matter will be determined as a matter of contract interpretation. For this reason, it is better to include an express statement of the intended position. For more on this issue, see 
                      <link anchor="co_anchor_a772655" href="https://uk.practicallaw.thomsonreuters.com/5-107-3795?originationContext=document&amp;amp;transitionType=DocumentItem&amp;amp;contextData=(sc.Default)" style="ACTLinkURL">
                        <ital>Standard clause, Interpretation: clause 1.12</ital>
                      </link>
                       and the related drafting notes.
                    </paratext>
                  </para>
                  <para>
                    <paratext>When considering whether fax or email should be accepted, it is a good idea to run a search for "writing" or "written" in the agreement and consider what the repercussions would be for each option.</paratext>
                  </para>
                  <division id="a246401" level="2">
                    <head align="left" preservecase="true">
                      <headtext>Should writing include email?</headtext>
                    </head>
                    <para>
                      <paratext>
                        Whether emails are considered to be "in writing" will be relevant to a number of clauses in this agreement including, including the notices provisions in clause 25
                        <ital> </ital>
                        (as they require notices to be in writing).
                      </paratext>
                    </para>
                    <para>
                      <paratext>This clause sets the optional position that email will constitute writing unless otherwise expressly provided in the agreement.</paratext>
                    </para>
                  </division>
                  <division id="a512961" level="2">
                    <head align="left" preservecase="true">
                      <headtext>Consistency with notices clause</headtext>
                    </head>
                    <para>
                      <paratext>
                        Where email is treated as writing, it is important to expressly provide whether notice may be given by email or not. For further information on this issue, see 
                        <link anchor="co_anchor_a912528" href="https://uk.practicallaw.thomsonreuters.com/3-107-3843?originationContext=document&amp;amp;transitionType=DocumentItem&amp;amp;contextData=(sc.Default)" style="ACTLinkURL">
                          <ital>Practice note, Notice clauses: Methods of giving notices: By email</ital>
                        </link>
                        .
                      </paratext>
                    </para>
                  </division>
                </division>
              </drafting.note>
            </subclause1>
            <subclause1 id="a124051">
              <identifier>1.12</identifier>
              <para>
                <paratext>
                  Any words following the terms 
                  <bold>including</bold>
                  , 
                  <bold>include</bold>
                  , 
                  <bold>in particular</bold>
                  , 
                  <bold>for example</bold>
                   or any similar expression shall be construed as illustrative and shall not limit the sense of the words, description, definition, phrase or term preceding those terms.
                </paratext>
              </para>
              <drafting.note id="a319572" jurisdiction="">
                <head align="left" preservecase="true">
                  <headtext>List of words</headtext>
                </head>
                <division id="a000015" level="1">
                  <para>
                    <paratext>The ejusdem generis (or eiusdem generis) rule provides that where a general provision is qualified in any way by examples that point to a confined interpretation of the general wording, the court will interpret the general words only to relate to matters of the same class as the examples given. Ejusdem generis is Latin for "of the same kind".</paratext>
                  </para>
                  <para>
                    <paratext>While the ejusdem generis rule is not always rigidly applied, it is good drafting practice to address the risk that it might be invoked. The common approach to this is to introduce any list with the words "including without limitation" or "in particular but without limitation". This clause avoids the need to repeat "without limitation" in each instance and also sets out more fully what the drafter is trying to achieve by including these words.</paratext>
                  </para>
                  <para>
                    <paratext>It also establishes that various words (such as "includes" or "in particular") have a consistent meaning when used in the contract, to avoid the risk that a court would construe different words differently.</paratext>
                  </para>
                </division>
              </drafting.note>
            </subclause1>
            <subclause1 id="a334719">
              <identifier>1.13</identifier>
              <para>
                <paratext>
                  Where the context permits, 
                  <bold>other</bold>
                   and 
                  <bold>otherwise</bold>
                   are illustrative and shall not limit the sense of the words preceding them.
                </paratext>
              </para>
            </subclause1>
            <subclause1 id="a699233">
              <identifier>1.14</identifier>
              <para>
                <paratext>
                  References to a document in 
                  <bold>agreed form</bold>
                   are to that document in the form agreed by the parties and initialled by or on their behalf for identification.
                </paratext>
              </para>
            </subclause1>
            <subclause1 id="a822333">
              <identifier>1.15</identifier>
              <para>
                <paratext>A reference to a statute or statutory provision is a reference to it as [amended, extended or re-enacted from time to time OR it is in force at the date of this agreement][, provided that, as between the parties, no such amendment, extension or re-enactment made after the date of this agreement shall apply for the purposes of this agreement to the extent that it would impose any new or extended obligation, liability or restriction on, or otherwise adversely affect the rights of, any party].</paratext>
              </para>
            </subclause1>
            <subclause1 id="a533645">
              <identifier>1.16</identifier>
              <para>
                <paratext>
                  A reference to a statute or statutory provision shall include all subordinate legislation made [from time to time 
                  <bold>OR</bold>
                   as at the date of this agreement] under that statute or statutory provision.
                </paratext>
              </para>
            </subclause1>
            <subclause1 id="a816189">
              <identifier>1.17</identifier>
              <para>
                <paratext>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paratext>
              </para>
            </subclause1>
            <subclause1 id="a993357">
              <identifier>1.18</identifier>
              <para>
                <paratext>Any obligation on a party not to do something includes an obligation not to allow that thing to be done.</paratext>
              </para>
            </subclause1>
            <subclause1 condition="optional" id="a317843">
              <identifier>1.19</identifier>
              <para>
                <paratext>
                  Where any statement is qualified by the expression 
                  <bold>so far as the Warrantors are aware</bold>
                   or 
                  <bold>to the Warrantor's knowledge</bold>
                   or any similar expression, that statement shall be deemed to include an additional statement that it has been made after due and careful enquiry.
                </paratext>
              </para>
            </subclause1>
            <subclause1 id="a591334">
              <identifier>1.20</identifier>
              <para>
                <paratext>
                  A reference to an 
                  <defn.term>Investor Director</defn.term>
                   shall include any alternate appointed to act in his place from time to time.
                </paratext>
              </para>
            </subclause1>
            <subclause1 condition="optional" id="a761891">
              <identifier>1.21</identifier>
              <para>
                <paratext>References to the Company and to the Board in clause 1 (Definitions), clause 4 (Warranties), 7 (The Board and the Investor Directors), 8 (Accounting, Business Plan and information rights), 9 (Matters requiring investor and investor director consent), 10 (Promotion of the Company's business), 15 (Founder covenants), 16 (Confidentiality and announcements), Schedule 4 (Reserved matters) and Schedule 5 (Warranties) shall include, where appropriate in the context, a reference to each Subsidiary or to the board of directors of each Subsididiary.</paratext>
              </para>
            </subclause1>
            <subclause1 condition="optional" id="a345663">
              <identifier>1.22</identifier>
              <para>
                <paratext>Unless the context otherwise requires, words and expressions defined in the Articles shall have the same meaning when used in this agreement.</paratext>
              </para>
            </subclause1>
          </clause>
          <clause id="a413974">
            <identifier>2.</identifier>
            <head align="left" preservecase="true">
              <headtext>Subscription</headtext>
            </head>
            <subclause1 id="a500748">
              <identifier>2.1</identifier>
              <para>
                <paratext>
                  Subject to 
                  <internal.reference refid="a308748">clause 3</internal.reference>
                  , the Investor applies for the allotment and issue to it of the number of Subscription Shares set out against its name below, at a subscription price of £[AMOUNT] per Subscription Share, payment for which shall be made in accordance with 
                  <internal.reference refid="a900830">clause 3.2(a)</internal.reference>
                  :
                </paratext>
              </para>
              <para>
                <paratext>
                  <table frame="none" pgwide="1">
                    <tgroup cols="3">
                      <colspec colname="1" colnum="1" colwidth="33"/>
                      <colspec colname="2" colnum="2" colwidth="33"/>
                      <colspec colname="3" colnum="3" colwidth="33"/>
                      <tbody>
                        <row>
                          <entry valign="top">
                            <para align="left">
                              <paratext>
                                <bold>Shareholder</bold>
                              </paratext>
                            </para>
                          </entry>
                          <entry valign="top">
                            <para align="left">
                              <paratext>
                                <bold>Shares</bold>
                              </paratext>
                            </para>
                          </entry>
                          <entry valign="top">
                            <para align="left">
                              <paratext>
                                <bold>Total subscription monies (£)</bold>
                              </paratext>
                            </para>
                          </entry>
                        </row>
                        <row>
                          <entry valign="top">
                            <para align="left">
                              <paratext>Investor</paratext>
                            </para>
                          </entry>
                          <entry valign="top">
                            <para align="left">
                              <paratext>[NUMBER] [CLASS] shares</paratext>
                            </para>
                          </entry>
                          <entry valign="top">
                            <para align="left">
                              <paratext>£[AMOUNT]</paratext>
                            </para>
                          </entry>
                        </row>
                      </tbody>
                    </tgroup>
                  </table>
                </paratext>
              </para>
            </subclause1>
            <subclause1 id="a66859">
              <identifier>2.2</identifier>
              <para>
                <paratext>Completion of the subscription shall take place on the Completion Date.</paratext>
              </para>
            </subclause1>
            <subclause1 id="a77948">
              <identifier>2.3</identifier>
              <para>
                <paratext>The Company warrants to the Investor that, on the date of this agreement and on the Completion Date, the Company shall [, subject to passing the Resolutions,] be entitled to allot the Subscription Shares to the Investor on the terms of this agreement, without the consent of any other person.</paratext>
              </para>
            </subclause1>
            <subclause1 id="a857685">
              <identifier>2.4</identifier>
              <para>
                <paratext>Each party to the agreement warrants to each of the other parties that:</paratext>
              </para>
              <subclause2 id="a252895">
                <identifier>(a)</identifier>
                <para>
                  <paratext>it has the power and authority to enter into and perform its obligations under this agreement;</paratext>
                </para>
              </subclause2>
              <subclause2 id="a67267">
                <identifier>(b)</identifier>
                <para>
                  <paratext>when executed, its obligations under this agreement will be binding on it; and</paratext>
                </para>
              </subclause2>
              <subclause2 id="a889729">
                <identifier>(c)</identifier>
                <para>
                  <paratext>execution and delivery of, and performance by it of its obligations under this agreement will not result in any breach of applicable law.</paratext>
                </para>
              </subclause2>
            </subclause1>
            <subclause1 id="a156763">
              <identifier>2.5</identifier>
              <para>
                <paratext>Each Founder agrees to vote in favour of the Resolutions and irrevocably waives any pre-emption rights that he or his nominees may have under the Company's articles of association or otherwise, so as to enable the issue of the Subscription Shares to proceed.</paratext>
              </para>
            </subclause1>
            <subclause1 id="a441795">
              <identifier>2.6</identifier>
              <para>
                <paratext>The Investor may direct that the Subscription Shares are issued and registered in the name of any nominee or custodian holding such shares on its behalf as bare nominee.</paratext>
              </para>
            </subclause1>
          </clause>
          <clause id="a308748">
            <identifier>3.</identifier>
            <head align="left" preservecase="true">
              <headtext>Completion</headtext>
            </head>
            <subclause1 id="a225889">
              <identifier>3.1</identifier>
              <para>
                <paratext>
                  Completion of the subscription by the Investor for the Subscription Shares shall, [subject to the satisfaction [or waiver by the Investor] of the Conditions on or before Completion,] take place at the offices of the Investor's Solicitors on the Completion Date (or at such other time and place as the Company and the Investor shall agree) when the events set out in 
                  <internal.reference refid="a382998">clause 3.2</internal.reference>
                   below shall take place in such order as the Investor may require.
                </paratext>
              </para>
            </subclause1>
            <subclause1 id="a382998">
              <identifier>3.2</identifier>
              <para>
                <paratext>The following events shall occur on the Completion Date:</paratext>
              </para>
              <subclause2 id="a900830">
                <identifier>(a)</identifier>
                <para>
                  <paratext>
                    the Investor shall pay the Company £[AMOUNT] by electronic transfer to the [Company's 
                    <bold>OR</bold>
                     the Company's Solicitors'] bank account at [NAME OF BANK], [SORT CODE], account number [NUMBER]. Payment made in accordance with this 
                    <internal.reference refid="a900830">clause 3.2(a)</internal.reference>
                     shall constitute a good discharge for the Investor of its obligations under this 
                    <internal.reference refid="a308748">clause 3</internal.reference>
                    ;
                  </paratext>
                </para>
              </subclause2>
              <subclause2 id="a733482">
                <identifier>(b)</identifier>
                <para>
                  <paratext>a meeting of the Board shall be held at which the Company shall:</paratext>
                </para>
                <subclause3 id="a171381">
                  <identifier>(i)</identifier>
                  <para>
                    <paratext>adopt the Articles;</paratext>
                  </para>
                </subclause3>
                <subclause3 id="a637853">
                  <identifier>(ii)</identifier>
                  <para>
                    <paratext>
                      subject to receipt of the payment referred to in 
                      <internal.reference refid="a900830">clause 3.2(a)</internal.reference>
                      , issue and allot the Subscription Shares credited as fully paid to the Investor [(or such person as it shall direct)] and enter its name in the register of members in respect of them;
                    </paratext>
                  </para>
                </subclause3>
                <subclause3 id="a360959">
                  <identifier>(iii)</identifier>
                  <para>
                    <paratext>execute and deliver to the Investor share certificate[s] for the Subscription Shares;</paratext>
                  </para>
                </subclause3>
                <subclause3 condition="optional" id="a435466">
                  <identifier>(iv)</identifier>
                  <para>
                    <paratext>accept the resignation[s] of [NAME[S]] as directors of the Company;</paratext>
                  </para>
                </subclause3>
                <subclause3 id="a299965">
                  <identifier>(v)</identifier>
                  <para>
                    <paratext>appoint [NAME[S]] to act as its Investor Director[s];</paratext>
                  </para>
                </subclause3>
                <subclause3 condition="optional" id="a1043798">
                  <identifier>(vi)</identifier>
                  <para>
                    <paratext>
                      appoint [NAME] as the Investor's observer to attend board meetings in accordance with 
                      <internal.reference refid="a999228">clause 7.3(b)</internal.reference>
                      ;
                    </paratext>
                  </para>
                </subclause3>
                <subclause3 condition="optional" id="a459777">
                  <identifier>(vii)</identifier>
                  <para>
                    <paratext>approve and authorise the execution of the Service Agreements by the Company; and</paratext>
                  </para>
                </subclause3>
                <subclause3 id="a759575">
                  <identifier>(viii)</identifier>
                  <para>
                    <paratext>pass any other resolutions required to carry out the Company's obligations under this agreement;</paratext>
                  </para>
                </subclause3>
              </subclause2>
              <subclause2 condition="optional" id="a539313">
                <identifier>(c)</identifier>
                <para>
                  <paratext>the Company and each of the Founders shall enter into the Service Agreements;</paratext>
                </para>
              </subclause2>
              <subclause2 id="a934521">
                <identifier>(d)</identifier>
                <para>
                  <paratext>
                    the [Company Secretary 
                    <bold>OR</bold>
                     Company's Solicitors 
                    <bold> OR</bold>
                     [NAME]] shall be instructed to file all appropriate resolutions and forms with the Registrar of Companies within the time limits prescribed for filing each of them; and
                  </paratext>
                </para>
              </subclause2>
              <subclause2 id="a355663">
                <identifier>(e)</identifier>
                <para>
                  <paratext>the Company shall, as soon as practicable, [and in any event within [NUMBER] Business Days following Completion], take out key man insurance policies for each of [the Founders [and [OTHERS]] on terms acceptable to the Investor Director[s].</paratext>
                </para>
              </subclause2>
            </subclause1>
          </clause>
          <clause id="a1031816">
            <identifier>4.</identifier>
            <head align="left" preservecase="true">
              <headtext>Warranties</headtext>
            </head>
            <subclause1 id="a791962">
              <identifier>4.1</identifier>
              <para>
                <paratext>The Warrantors acknowledge that the Investor has been induced to enter into the agreement and to subscribe for the Subscription Shares on the basis of and in reliance upon the Warranties.</paratext>
              </para>
            </subclause1>
            <subclause1 id="a830440">
              <identifier>4.2</identifier>
              <para>
                <paratext>
                  The Warrantors jointly and severally [(but subject to 
                  <internal.reference refid="a169008">clause 5.3(b)</internal.reference>
                  )] warrant [and represent] to the Investor that each and every warranty set out in 
                  <internal.reference refid="a151368">Schedule 5</internal.reference>
                   is, at the date of this agreement [and as at the Completion Date] true, accurate and not misleading [in any material respect] subject only to:
                </paratext>
              </para>
              <subclause2 id="a748894">
                <identifier>(a)</identifier>
                <para>
                  <paratext>the matters Disclosed in the Disclosure Letter;</paratext>
                </para>
              </subclause2>
              <subclause2 condition="optional" id="a56510">
                <identifier>(b)</identifier>
                <para>
                  <paratext>
                    any exceptions expressly provided for in this agreement, including those in 
                    <internal.reference refid="a448177">clause 5</internal.reference>
                    .
                  </paratext>
                </para>
              </subclause2>
            </subclause1>
            <subclause1 id="a360910">
              <identifier>4.3</identifier>
              <para>
                <paratext>Each Warranty is a separate and independent warranty [and representation], and, save as otherwise expressly provided, no Warranty shall be limited by reference to any other Warranty or by the other terms of this agreement and the Disclosure Letter.</paratext>
              </para>
            </subclause1>
            <subclause1 id="a756119">
              <identifier>4.4</identifier>
              <para>
                <paratext>The Investor's rights and remedies in respect of any breach of any of the Warranties shall not be affected by:</paratext>
              </para>
              <subclause2 id="a508174">
                <identifier>(a)</identifier>
                <para>
                  <paratext>Completion;</paratext>
                </para>
              </subclause2>
              <subclause2 id="a330637">
                <identifier>(b)</identifier>
                <para>
                  <paratext>any investigation made by or on behalf of the Investor into the affairs of the Company; or</paratext>
                </para>
              </subclause2>
              <subclause2 id="a532424">
                <identifier>(c)</identifier>
                <para>
                  <paratext>any other event or matter whatsoever which otherwise might have affected such rights and remedies except a specific and duly authorised written waiver or release.</paratext>
                </para>
              </subclause2>
            </subclause1>
            <subclause1 id="a344566">
              <identifier>4.5</identifier>
              <para>
                <paratext>
                  No information relating to the Company of which the Investor and/or its agents and/or advisers has knowledge (actual, constructive or imputed) other than by reason of it being Disclosed in accordance with 
                  <internal.reference refid="a748894">clause 4.2(a)</internal.reference>
                   shall prejudice any Claim that the Investor shall be entitled to bring or shall operate to reduce any amount recoverable by the Investor under this agreement.
                </paratext>
              </para>
            </subclause1>
            <subclause1 id="a494994">
              <identifier>4.6</identifier>
              <para>
                <paratext>The Investor may claim in respect of any breach of the Warranties, either against the Company or against any of the other Warrantors and/or partly against the Company and partly against any of the other Warrantors. In the case of a Claim against the Company, no counterclaim or right of contribution or indemnity shall lie against the other Warrantors. In the case of a Claim against any or all of the other Warrantors, no counterclaim or right of contribution or indemnity shall lie by any of them against the Company or any of the other Warrantors.</paratext>
              </para>
            </subclause1>
            <subclause1 condition="optional" id="a858723">
              <identifier>4.7</identifier>
              <para>
                <paratext>Any information supplied by or on behalf of the Company or its officers, employees, agents, representatives or advisers to the Founders or their agents, representatives or advisers in connection with, or which forms the basis of, any of the Warranties, the information Disclosed in the Disclosure Letter or otherwise in relation to the business and affairs of the Company (whether before or after the date hereof) shall not constitute a warranty, representation or guarantee as to the accuracy of such information in favour of the Founders and shall not constitute a defence to any Claim by the Investor. The Founders hereby irrevocably waive any and all claims against the Company [, its officers, employees or agents] in respect of any information so supplied (and undertake that no other person claiming under, or through, any of them will make any such claim).</paratext>
              </para>
            </subclause1>
            <subclause1 condition="optional" id="a282906">
              <identifier>4.8</identifier>
              <para>
                <paratext>
                  The Warranties shall be deemed to be repeated at Completion. The Company undertakes to use [best 
                  <bold>OR</bold>
                   reasonable] endeavours, and the Founders severally undertake to use their [best 
                  <bold>OR</bold>
                   reasonable] endeavours, to procure that neither they nor the Company shall do or procure any act before Completion which would [or might] result in a breach of any of the Warranties.
                </paratext>
              </para>
            </subclause1>
            <subclause1 condition="optional" id="a105369">
              <identifier>4.9</identifier>
              <para>
                <paratext>Each of the Warrantors undertakes to disclose to the Investor in writing any matter occurring prior to Completion which comes to his knowledge and which constitutes a material breach of, or is inconsistent [in any material respect] with any of the Warranties.</paratext>
              </para>
            </subclause1>
            <subclause1 condition="optional" id="a372402">
              <identifier>4.10</identifier>
              <para>
                <paratext>If the Investor becomes aware at, or before, Completion of any [material breach] of any Warranty then, without prejudice to any other right which the Investor may have, the Investor shall have the right to:</paratext>
              </para>
              <subclause2 id="a872534">
                <identifier>(a)</identifier>
                <para>
                  <paratext>rescind this agreement without liability to any of the other parties; or</paratext>
                </para>
              </subclause2>
              <subclause2 id="a652272">
                <identifier>(b)</identifier>
                <para>
                  <paratext>proceed to Completion.</paratext>
                </para>
              </subclause2>
            </subclause1>
          </clause>
          <clause condition="optional" id="a448177">
            <identifier>5.</identifier>
            <head align="left" preservecase="true">
              <headtext>Limitations</headtext>
            </head>
            <subclause1 id="a584760">
              <identifier>5.1</identifier>
              <para>
                <paratext>
                  The limitations set out in this 
                  <internal.reference refid="a448177">clause 5</internal.reference>
                   shall not apply to any Claim which is:
                </paratext>
              </para>
              <subclause2 id="a571302">
                <identifier>(a)</identifier>
                <para>
                  <paratext>the consequence of fraud, dishonesty, wilful concealment, wilful misrepresentation or gross negligence by or on behalf of the Warrantors; or</paratext>
                </para>
              </subclause2>
              <subclause2 id="a240181">
                <identifier>(b)</identifier>
                <para>
                  <paratext>
                    [which is a result of a breach of the Warranties in 
                    <internal.reference refid="a543404">paragraph 1</internal.reference>
                     of 
                    <internal.reference refid="a151368">Schedule 5</internal.reference>
                    ; or
                  </paratext>
                </para>
              </subclause2>
              <subclause2 id="a1017904">
                <identifier>(c)</identifier>
                <para>
                  <paratext>[OTHERS].</paratext>
                </para>
              </subclause2>
            </subclause1>
            <subclause1 id="a233544">
              <identifier>5.2</identifier>
              <para>
                <paratext>The Warrantors shall not be liable for a Claim unless the Investor has given the Warrantors written notice of that Claim, specifying (in reasonable detail) the nature of the Claim and the amount claimed:</paratext>
              </para>
              <subclause2 id="a299458">
                <identifier>(a)</identifier>
                <para>
                  <paratext>in the case of a Claim under the Tax Warranties, within the period of six years and three months from the end of the accounting period current at the Completion Date; and</paratext>
                </para>
              </subclause2>
              <subclause2 id="a1036469">
                <identifier>(b)</identifier>
                <para>
                  <paratext>in the case of any other Claim, within [PERIOD], beginning with the Completion Date.</paratext>
                </para>
              </subclause2>
              <para>
                <paratext>[However, failure to give reasonable details of any Claims shall not prevent the Investor from proceeding with any Claim that is otherwise made properly under this agreement.]</paratext>
              </para>
            </subclause1>
            <subclause1 id="a622172">
              <identifier>5.3</identifier>
              <para>
                <paratext>The aggregate liability of the Warrantors for all and any Claims when taken together shall be limited to:</paratext>
              </para>
              <subclause2 id="a865065">
                <identifier>(a)</identifier>
                <para>
                  <paratext>
                    in the case of the Company, [£[AMOUNT] 
                    <bold>OR</bold>
                     an amount equal to the aggregate amount subscribed by the Investor pursuant to this agreement]; and
                  </paratext>
                </para>
              </subclause2>
              <subclause2 id="a169008">
                <identifier>(b)</identifier>
                <para>
                  <paratext>in the case of each of the Warrantors (other than the Company), the amounts set out opposite their respective names:</paratext>
                </para>
                <subclause3 id="a749856">
                  <identifier>(i)</identifier>
                  <para>
                    <paratext>[NAME OF EXECUTIVE] £[AMOUNT]; and</paratext>
                  </para>
                </subclause3>
                <subclause3 id="a455645">
                  <identifier>(ii)</identifier>
                  <para>
                    <paratext>
                      [NAME OF EXECUTIVE] £[AMOUNT][, 
                      <bold>OR</bold>
                      .]
                    </paratext>
                  </para>
                </subclause3>
              </subclause2>
              <para>
                <paratext>[together with the proper and reasonable costs of recovery in respect of any Claim incurred by (or on behalf of) the Investor.]</paratext>
              </para>
            </subclause1>
            <subclause1 id="a603860">
              <identifier>5.4</identifier>
              <para>
                <paratext>The Warrantors shall not be liable for any Claim unless:</paratext>
              </para>
              <subclause2 id="a395099">
                <identifier>(a)</identifier>
                <para>
                  <paratext>the aggregate liability for any Claim exceeds £[AMOUNT], in which case the Warrantors shall be liable for the entire amount and not just the excess; and</paratext>
                </para>
              </subclause2>
              <subclause2 id="a785497">
                <identifier>(b)</identifier>
                <para>
                  <paratext>
                    [in calculating liability for Claims for the purposes of 
                    <internal.reference refid="a395099">clause 5.4(a)</internal.reference>
                    , any Claim which is less than £[AMOUNT] [(excluding interest, costs and expenses)] shall be disregarded. For these purposes, a number of Claims arising out of the same or similar subject matter, facts, events or circumstances shall be aggregated to form a single Claim.]
                  </paratext>
                </para>
              </subclause2>
            </subclause1>
            <subclause1 id="a173636">
              <identifier>5.5</identifier>
              <para>
                <paratext>If, after any payment to the Investor in respect of any Claim, the Company [or any Group Company] receives any payment from any third party directly in respect of the loss suffered by the Company which resulted in the Claim, the Investor shall reimburse to the Warrantors an amount equal to the proportion of such payment which the amount paid by the Warrantors to the Investor bears to such loss.</paratext>
              </para>
            </subclause1>
            <subclause1 id="a772234">
              <identifier>5.6</identifier>
              <para>
                <paratext>The Investor may not recover from the Warrantors under the Warranties more than once in respect of the same damages suffered.</paratext>
              </para>
            </subclause1>
            <subclause1 id="a405291">
              <identifier>5.7</identifier>
              <para>
                <paratext>The Warrantors shall not be liable for any breach of Warranty shall arise:</paratext>
              </para>
              <subclause2 id="a185028">
                <identifier>(a)</identifier>
                <para>
                  <paratext>if such breach occurs by reason of any matter which would not have arisen but for the coming into force of any legislation not in force at the Completion Date or by reason of any change to HM Revenue &amp; Customs practice occurring after the Completion Date;</paratext>
                </para>
              </subclause2>
              <subclause2 id="a393287">
                <identifier>(b)</identifier>
                <para>
                  <paratext>to the extent that such breach or claim arises as a result of any change in the accounting bases or policies in accordance with which the Company values its assets or calculates its liabilities or any other change in accounting practice from the treatment or application of the same used in preparing the Accounts (except to the extent that such changes are required to correct errors or because relevant generally accepted accounting principles have not been complied with); or</paratext>
                </para>
              </subclause2>
              <subclause2 condition="optional" id="a207659">
                <identifier>(c)</identifier>
                <para>
                  <paratext>to the extent that adequate allowance, provision or reserve has been made in the Accounts or in the Management Accounts in respect of the matter to which such liability relates.</paratext>
                </para>
              </subclause2>
            </subclause1>
            <subclause1 id="a1030121">
              <identifier>5.8</identifier>
              <para>
                <paratext>
                  The time limits in 
                  <internal.reference refid="a233544">clause 5.2</internal.reference>
                   shall not limit any Claim in respect of liabilities that are contingent or unascertained where [written] notice of the Claim (giving as far as practical the amount and details of the Claim) is given to the Warrantors before the expiry of the relevant periods specified in 
                  <internal.reference refid="a233544">clause 5.2</internal.reference>
                  .
                </paratext>
              </para>
            </subclause1>
            <subclause1 id="a509246">
              <identifier>5.9</identifier>
              <para>
                <paratext>The Warrantors shall not be liable for a Claim to the extent that the matter or circumstance giving rise to such Claim was Disclosed.</paratext>
              </para>
            </subclause1>
            <subclause1 id="a297155">
              <identifier>5.10</identifier>
              <para>
                <paratext>
                  The Warrantors shall not be liable for any Claim if the alleged breach which is the subject of the Claim is capable of remedy and is remedied to the [reasonable] satisfaction of the Investor within [NUMBER] Business Days of the date on which the notice in 
                  <internal.reference refid="a233544">clause 5.2</internal.reference>
                   above is received by the Warrantors.
                </paratext>
              </para>
            </subclause1>
          </clause>
          <clause condition="optional" id="a947230">
            <identifier>6.</identifier>
            <head align="left" preservecase="true">
              <headtext>Employee share options</headtext>
            </head>
            <subclause1 id="a864371">
              <para>
                <paratext>Within [NUMBER] Business Days of the Completion Date, the Company shall adopt the Share Option Plan whereby options over Ordinary Shares (subject to a maximum option pool of [NUMBER] Ordinary Shares) may be granted to directors, employees and consultants of the Company pursuant to the share option plan, in such number as may be decided by the Board [(with the consent of the Investor Director)].</paratext>
              </para>
            </subclause1>
          </clause>
          <clause id="a454481">
            <identifier>7.</identifier>
            <head align="left" preservecase="true">
              <headtext>The board and the investor director</headtext>
            </head>
            <subclause1 id="a1032631">
              <identifier>7.1</identifier>
              <para>
                <paratext>The appointment, dismissal and conduct of the Board shall be regulated in accordance with this agreement and the Articles.</paratext>
              </para>
            </subclause1>
            <subclause1 id="a524793">
              <identifier>7.2</identifier>
              <para>
                <paratext>The maximum number of directors of the Board holding office at any one time shall be [NUMBER] unless expressly agreed in advance by the Investor.</paratext>
              </para>
            </subclause1>
            <subclause1 id="a704196">
              <identifier>7.3</identifier>
              <para>
                <paratext>
                  [In accordance with the Articles, for so long as the Investor [and its Permitted Transferees] hold[s] [PERCENTAGE]% of the Shares in issue [(disregarding any Shares held in the Share Option Plan)] [it 
                  <bold>OR</bold>
                   they] shall have the right to:
                </paratext>
              </para>
              <subclause2 id="a689470">
                <identifier>(a)</identifier>
                <para>
                  <paratext>
                    appoint and maintain in office [NUMBER] natural person[s] as the Investor may from time to time direct as an Investor Director (and as a member of each and any committee of the Board) and to remove any director so appointed and, upon his removal whether by the Investor or otherwise, to appoint another person to act as an Investor Director in his place [, and [NAME] shall be deemed to be the first director appointed pursuant to this 
                    <internal.reference refid="a689470">clause 7.3(a)</internal.reference>
                    ]; and
                  </paratext>
                </para>
              </subclause2>
              <subclause2 condition="optional" id="a999228">
                <identifier>(b)</identifier>
                <para>
                  <paratext>appoint a representative to attend as an observer at each and any meeting of the board and of each and any committee of the Board.</paratext>
                </para>
              </subclause2>
            </subclause1>
            <subclause1 id="a206842">
              <identifier>7.4</identifier>
              <para>
                <paratext>Appointment and removal of an Investor Director shall be by written notice to the Company which shall take effect on delivery at its registered office or at any meeting of the Board or committee thereof.</paratext>
              </para>
            </subclause1>
            <subclause1 id="a69953">
              <identifier>7.5</identifier>
              <para>
                <paratext>
                  The parties intend that meetings of the Board are convened and held at least once every [month 
                  <bold>OR</bold>
                   three months 
                  <bold>OR</bold>
                   [PERIOD]].
                </paratext>
              </para>
            </subclause1>
            <subclause1 id="a123360">
              <identifier>7.6</identifier>
              <para>
                <paratext>
                  The Company shall send to the Investor and, when appointed, the Investor Director [and the observer appointed under 
                  <internal.reference refid="a999228">clause 7.3(b)</internal.reference>
                  ]:
                </paratext>
              </para>
              <subclause2 id="a900822">
                <identifier>(a)</identifier>
                <para>
                  <paratext>reasonable advance notice of each Board meeting [and each committee of it];</paratext>
                </para>
              </subclause2>
              <subclause2 id="a381482">
                <identifier>(b)</identifier>
                <para>
                  <paratext>a written agenda for each Board meeting [and each committee meeting], accompanied by all relevant papers; and</paratext>
                </para>
              </subclause2>
              <subclause2 id="a673923">
                <identifier>(c)</identifier>
                <para>
                  <paratext>as soon as practicable after each such meeting, a copy of the minutes [or committee minutes] of such meetings.</paratext>
                </para>
              </subclause2>
            </subclause1>
            <subclause1 condition="optional" id="a531021">
              <identifier>7.7</identifier>
              <para>
                <paratext>No resolution may be passed at a meeting of the Board [(or a meeting of a committee of the Board)], unless:</paratext>
              </para>
              <subclause2 id="a731324">
                <identifier>(a)</identifier>
                <para>
                  <paratext>the nature of the business has been specified in the agenda; and</paratext>
                </para>
              </subclause2>
              <subclause2 id="a400203">
                <identifier>(b)</identifier>
                <para>
                  <paratext>
                    [either] an Investor Director [or an observer appointed in accordance with 
                    <internal.reference refid="a999228">clause 7.3(b)</internal.reference>
                     above (if appointed)] is present at such meeting.
                  </paratext>
                </para>
              </subclause2>
            </subclause1>
            <subclause1 id="a225308">
              <identifier>7.8</identifier>
              <para>
                <paratext>The parties shall use their respective reasonable endeavours to ensure that any Board meeting [(or meeting of a committee of the Board)] and every general meeting of the Company has the requisite quorum.</paratext>
              </para>
            </subclause1>
            <subclause1 id="a164934">
              <identifier>7.9</identifier>
              <para>
                <paratext>
                  The Company shall pay the Investor (or as it shall direct) from Completion, in respect of the provision of the services of the Investor Director appointed by it pursuant to the Articles a fee of £[AMOUNT] per annum exclusive of value added tax. Such fee shall accrue daily and shall be payable [monthly
                  <bold> OR </bold>
                  quarterly] in arrears on [the last Business Day in each month 
                  <bold>OR</bold>
                   [DATES IN EACH QUARTER]].
                </paratext>
              </para>
            </subclause1>
            <subclause1 condition="optional" id="a469882">
              <identifier>7.10</identifier>
              <para>
                <paratext>
                  The Company shall reimburse any Investor Director appointed pursuant to the Articles and any observers appointed pursuant to 
                  <internal.reference refid="a999228">clause 7.3(b)</internal.reference>
                   in accordance with its existing policy with the reasonable costs and any out of pocket expenses incurred by the Investor Director in respect of attending meetings of the Company or carrying out authorised business on behalf of the Company.
                </paratext>
              </para>
            </subclause1>
            <subclause1 condition="optional" id="a787992">
              <identifier>7.11</identifier>
              <para>
                <paratext>
                  The Board shall establish a [remuneration 
                  <bold>OR</bold>
                   audit 
                  <bold>OR</bold>
                   [OTHER]] committee as soon as practicable following Completion [on such terms as shall be approved by the Board 
                  <bold>OR</bold>
                   having the terms of reference set out in Schedule [NUMBER].
                </paratext>
              </para>
            </subclause1>
          </clause>
          <clause id="a876868">
            <identifier>8.</identifier>
            <head align="left" preservecase="true">
              <headtext>Accounting, business plan and information rights</headtext>
            </head>
            <subclause1 id="a171453">
              <identifier>8.1</identifier>
              <para>
                <paratext>The Company shall, and the Founders shall procure that the Company shall, at all times maintain accurate and complete accounting and other financial records.</paratext>
              </para>
            </subclause1>
            <subclause1 id="a240089">
              <identifier>8.2</identifier>
              <para>
                <paratext>
                  The Company shall, and the Founders shall procure that the Company shall, prepare management accounts [(in a form reasonably acceptable to the Investor) 
                  <bold>OR </bold>
                  (in the same format as the Management Accounts or in some other form reasonably approved by the Investor)] and shall send copies to [each of the Shareholders 
                  <bold>OR</bold>
                   the Investor] within [NUMBER] days of the end of each month.
                </paratext>
              </para>
            </subclause1>
            <subclause1 id="a532660">
              <identifier>8.3</identifier>
              <para>
                <paratext>
                  The Founders shall procure that the Company shall continue to prepare a business plan for the Company for each financial year and shall provide [each of the Shareholders 
                  <bold>OR</bold>
                   the Investor] with a copy of the business plan for their comments. Each business plan shall require the approval of the [Investor 
                  <bold>OR</bold>
                   Investor Director].
                </paratext>
              </para>
            </subclause1>
            <subclause1 id="a644108">
              <identifier>8.4</identifier>
              <para>
                <paratext>At least [NUMBER] Business Days before the end of each financial year, the Company shall [consult with the Investor, and] prepare a detailed operating and capital budget and cash flow forecast for the next financial year.</paratext>
              </para>
            </subclause1>
            <subclause1 id="a163952">
              <identifier>8.5</identifier>
              <para>
                <paratext>The audited accounts of the Company [and the audited consolidated accounts of the Group Companies] in respect of each accounting period, together with the related audit and management letters and all correspondence between the Company and the auditors of the Company concerning the accounts, shall be completed and approved by the Board and delivered to the Investor within [NUMBER] months after the end of the accounting period to which such audited accounts relate.</paratext>
              </para>
            </subclause1>
            <subclause1 id="a895768">
              <identifier>8.6</identifier>
              <para>
                <paratext>The Company shall provide the Investor promptly with such other information concerning the Company and its business as the Investor may [reasonably] require from time to time.</paratext>
              </para>
            </subclause1>
            <subclause1 id="a102958">
              <identifier>8.7</identifier>
              <para>
                <paratext>
                  [If the Company does not comply with its obligations under 
                  <internal.reference refid="a240089">clause 8.2</internal.reference>
                   to 
                  <internal.reference refid="a895768">clause 8.6</internal.reference>
                  ] the Investor, the Investor Director and a firm of accountants nominated by the Investor [at the Company's 
                  <bold>OR </bold>
                   the Investor's] expense will be entitled to attend the Company's premises to examine the books, records and accounts of the Company and to discuss the Company's affairs, finances and accounts with its directors, officers and senior employees. [Each of the Founders and the Company separately undertakes to the Investor to co-operate with any accountants or representatives appointed by them pursuant to this 
                  <internal.reference refid="a102958">clause 8.7</internal.reference>
                  ].
                </paratext>
              </para>
            </subclause1>
            <subclause1 condition="optional" id="a50054">
              <identifier>8.8</identifier>
              <para>
                <paratext>
                  The Investor Director and any observers appointed pursuant to 
                  <internal.reference refid="a999228">clause 7.3(b)</internal.reference>
                   may, from time to time, make full [but confidential] disclosure to its appointing Investor of any information relating to the Company.
                </paratext>
              </para>
            </subclause1>
            <subclause1 condition="optional" id="a987799">
              <identifier>8.9</identifier>
              <para>
                <paratext>The Investor shall be at liberty from time to time to disclose [confidentially] to its partners, trustees, shareholders, unitholders and other participants such information relation to the business affairs and financial position of the Company as it may, in its reasonable discretion, think necessary.</paratext>
              </para>
            </subclause1>
            <subclause1 id="a737376">
              <identifier>8.10</identifier>
              <para>
                <paratext>[INSERT OTHER PROVISIONS SPECIFIC TO THE TRANSACTION].</paratext>
              </para>
            </subclause1>
          </clause>
          <clause id="a100652">
            <identifier>9.</identifier>
            <head align="left" preservecase="true">
              <headtext>Matters requiring investor and investor director consent</headtext>
            </head>
            <subclause1 id="a261119">
              <identifier>9.1</identifier>
              <para>
                <paratext>Each of the Founders undertakes to the Investor (as a separate covenant by each of them) to exercise all voting rights and powers of control available to him in relation to the Company to procure that:</paratext>
              </para>
              <subclause2 id="a978538">
                <identifier>(a)</identifier>
                <para>
                  <paratext>save with the prior written consent of the Investor, the Company shall not take any of the actions set out in Parts 1 and 2 of Schedule 4.</paratext>
                </para>
              </subclause2>
              <subclause2 id="a311431">
                <identifier>(b)</identifier>
                <para>
                  <paratext>
                    save with the prior written consent of [an 
                    <bold>OR</bold>
                     the] Investor Director, the Company shall not take any of the actions set out in Part 3 of Schedule 4.
                  </paratext>
                </para>
              </subclause2>
            </subclause1>
            <subclause1 condition="optional" id="a63487">
              <identifier>9.2</identifier>
              <para>
                <paratext>
                  The Company undertakes to the Investor that, for so long as the Investor [and its Permitted Transferees] hold[s] [[PERCENTAGE]% or more] of the Company's issued [Shares 
                  <bold>OR</bold>
                   Preference Shares] [(disregarding any Shares held in the Share Option Plan)]:
                </paratext>
              </para>
              <subclause2 id="a322167">
                <identifier>(a)</identifier>
                <para>
                  <paratext>save with the prior written consent of the Investor, the Company shall not take any of the actions set out in Part 1 of Schedule 4.</paratext>
                </para>
              </subclause2>
              <subclause2 id="a589200">
                <identifier>(b)</identifier>
                <para>
                  <paratext>
                    save with the prior written consent of [an 
                    <bold>OR</bold>
                     the] Investor Director, the Company shall not take any of the actions set out in Part 3 of Schedule 4.
                  </paratext>
                </para>
              </subclause2>
            </subclause1>
            <subclause1 condition="optional" id="a201159">
              <identifier>9.3</identifier>
              <para>
                <paratext>Any Investor Director shall be authorised to communicate the consent of its appointing Investor to any of the matters listed in Schedule 4.</paratext>
              </para>
            </subclause1>
          </clause>
          <clause id="a740809">
            <identifier>10.</identifier>
            <head align="left" preservecase="true">
              <headtext>Promotion of the company's business</headtext>
            </head>
            <subclause1 id="a482238">
              <identifier>10.1</identifier>
              <para>
                <paratext>The Founders shall promote the best interests of the Company and ensure that the business of the Company is conducted in accordance with the Business Plan and good business practice.</paratext>
              </para>
            </subclause1>
            <subclause1 id="a829167">
              <identifier>10.2</identifier>
              <para>
                <paratext>The Company shall apply the proceeds of the Investor's subscription for the Subscription Shares in the furtherance of the business of the Company in accordance with the Business Plan.</paratext>
              </para>
            </subclause1>
            <subclause1 id="a933258">
              <identifier>10.3</identifier>
              <para>
                <paratext>The Founders and the Company [severally] undertake to the Investor to procure, so far as in their respective power to do so:</paratext>
              </para>
              <subclause2 id="a965193">
                <identifier>(a)</identifier>
                <para>
                  <paratext>that the Company shall:</paratext>
                </para>
                <subclause3 id="a547353">
                  <identifier>(i)</identifier>
                  <para>
                    <paratext>maintain in full force and effect for the exclusive benefit of the Company keyman insurance policies in respect of [NAME[S] OF RELEVANT EXECUTIVE[S]], and shall not take or effect any steps so as to render such policies void or voidable or otherwise unenforceable;</paratext>
                  </para>
                </subclause3>
                <subclause3 id="a608063">
                  <identifier>(ii)</identifier>
                  <para>
                    <paratext>take out and maintain insurance satisfactory to the Investor and shall on request supply the Investor with a schedule of such insurances;</paratext>
                  </para>
                </subclause3>
                <subclause3 id="a617476">
                  <identifier>(iii)</identifier>
                  <para>
                    <paratext>take all action as may be [reasonably] required to protect its intellectual property rights and any other property and assets;</paratext>
                  </para>
                </subclause3>
                <subclause3 id="a199024">
                  <identifier>(iv)</identifier>
                  <para>
                    <paratext>ensure that all new business opportunities relevant to the Company are pursued and taken up only by the Company (or a wholly owned Subsidiary of it);</paratext>
                  </para>
                </subclause3>
                <subclause3 id="a647191">
                  <identifier>(v)</identifier>
                  <para>
                    <paratext>comply with the terms of this agreement , and the Articles [and the Service Agreements]; and</paratext>
                  </para>
                </subclause3>
                <subclause3 id="a824861">
                  <identifier>(vi)</identifier>
                  <para>
                    <paratext>[OTHERS].</paratext>
                  </para>
                </subclause3>
              </subclause2>
              <subclause2 id="a648163">
                <identifier>(b)</identifier>
                <para>
                  <paratext>that the Founders shall [so far as it lies within their power to do so]:</paratext>
                </para>
                <subclause3 id="a890794">
                  <identifier>(i)</identifier>
                  <para>
                    <paratext>procure the passing of all resolutions at Board meetings and at shareholders' meetings of the Company;</paratext>
                  </para>
                </subclause3>
                <subclause3 id="a959638">
                  <identifier>(ii)</identifier>
                  <para>
                    <paratext>take all steps necessary to ensure performance of this agreement;</paratext>
                  </para>
                </subclause3>
                <subclause3 id="a945917">
                  <identifier>(iii)</identifier>
                  <para>
                    <paratext>
                      procure that, [immediately 
                      <bold>OR </bold>
                      as soon as reasonably practicable] on receiving notice to do so from the Investor, the Company convenes and holds [at short notice] a general meeting of the Company at such place and time as the Investor may determine at which any resolution required by the Investor shall be proposed.
                    </paratext>
                  </para>
                </subclause3>
              </subclause2>
            </subclause1>
            <subclause1 id="a777958">
              <identifier>10.4</identifier>
              <para>
                <paratext>Each of the parties (other than the Company) undertakes to the other parties to be bound by the Articles for so long as each party is a holder of shares in the capital of the Company.</paratext>
              </para>
            </subclause1>
          </clause>
          <clause id="a520601">
            <identifier>11.</identifier>
            <head align="left" preservecase="true">
              <headtext>Transfer of shares</headtext>
            </head>
            <subclause1 id="a423899">
              <identifier>11.1</identifier>
              <para>
                <paratext>Notwithstanding the Articles, each Founder undertakes to the Investor that he shall not, and shall not agree to create any Encumbrance over, transfer or otherwise dispose of the whole or any part of his interest in or grant any option over any Shares to any person except;</paratext>
              </para>
              <subclause2 condition="optional" id="a403357">
                <identifier>(a)</identifier>
                <para>
                  <paratext>
                    with the prior written consent of the [Investor 
                    <bold>OR</bold>
                     Investor Director] [, such consent not to be unreasonably withheld or delayed; or]
                  </paratext>
                </para>
              </subclause2>
              <subclause2 id="a245411">
                <identifier>(b)</identifier>
                <para>
                  <paratext>where required [or permitted] to do so by the Articles and this agreement.</paratext>
                </para>
              </subclause2>
            </subclause1>
            <subclause1 id="a702936">
              <identifier>11.2</identifier>
              <para>
                <paratext>No transfer of Shares shall be registered by the Board unless the transferee of such Shares has executed and delivered a Deed of Adherence.</paratext>
              </para>
            </subclause1>
            <subclause1 id="a81091">
              <identifier>11.3</identifier>
              <para>
                <paratext>The Company shall not issue any Shares or other equity securities to any person, unless that person is a party to this agreement or has executed and delivered a Deed of Adherence.</paratext>
              </para>
            </subclause1>
            <subclause1 condition="optional" id="a903553">
              <identifier>11.4</identifier>
              <para>
                <paratext>Except as expressly provided in this agreement or where Shares are allotted to satisfy the exercise of an option under the Share Option Plan, the Company shall not register any transfer or issue of shares unless a Deed of Adherence is executed by the transferee or allottee and delivered to.</paratext>
              </para>
            </subclause1>
          </clause>
          <clause id="a78677">
            <identifier>12.</identifier>
            <head align="left" preservecase="true">
              <headtext>Exit</headtext>
            </head>
            <subclause1 id="a719567">
              <identifier>12.1</identifier>
              <para>
                <paratext>
                  The parties intend to work towards an Exit [as soon as practicable [and, in any event, within [NUMBER] years of the Completion Date]. The parties shall keep each other informed of all and any developments which might lead to an Exit [, and agree that no Exit shall take place without the consent of the [Investor 
                  <bold>OR</bold>
                   Investor Director].
                </paratext>
              </para>
            </subclause1>
            <subclause1 id="a383009">
              <identifier>12.2</identifier>
              <para>
                <paratext>Each party acknowledges and agrees that, upon an Exit, the Investor shall not be obliged to give warranties or indemnities (except a warranty as to title to the shares held by the Investor [or its nominee[s]]).</paratext>
              </para>
            </subclause1>
            <subclause1 condition="optional" id="a761162">
              <identifier>12.3</identifier>
              <para>
                <paratext>If an Exit has not been achieved by the [NUMBER] anniversary of Completion, the Company shall, if required by the Investor, at the Company's expense, appoint a professional adviser to advise and report on exit opportunities and strategy. Copies of such reports shall be made available to the Investor (at the Company's expense).</paratext>
              </para>
            </subclause1>
            <subclause1 id="a645942">
              <identifier>12.4</identifier>
              <para>
                <paratext>On a Listing, the Shareholders shall:</paratext>
              </para>
              <subclause2 id="a1037608">
                <identifier>(a)</identifier>
                <para>
                  <paratext>to the extent required by:</paratext>
                </para>
                <subclause3 id="a800290">
                  <identifier>(i)</identifier>
                  <para>
                    <paratext>the Listing Rules; or</paratext>
                  </para>
                </subclause3>
                <subclause3 id="a593803">
                  <identifier>(ii)</identifier>
                  <para>
                    <paratext>any equivalent requirements of any other recognised investment exchange (as defined in the Financial Services and Markets Act 2000),</paratext>
                  </para>
                </subclause3>
                <para>
                  <paratext>retain such number of their shares in the Company held at the time of the Listing for such period after the Listing as is required by the Listing Rules or the rules and requirements of the relevant recognised investment exchange; and</paratext>
                </para>
              </subclause2>
              <subclause2 id="a213266">
                <identifier>(b)</identifier>
                <para>
                  <paratext>have regard to the recommendations of the Company's brokers on a Listing in determining their respective sale of shares upon the Company's Listing and shall make such determination with a view to ensuring the success of the Listing.</paratext>
                </para>
              </subclause2>
            </subclause1>
            <subclause1 condition="optional" id="a769543">
              <identifier>12.5</identifier>
              <para>
                <paratext>
                  Except for the continuing obligation to comply with 
                  <internal.reference refid="a604598">clause 13</internal.reference>
                  , this agreement shall terminate automatically on a Listing.
                </paratext>
              </para>
            </subclause1>
          </clause>
          <clause condition="optional" id="a604598">
            <identifier>13.</identifier>
            <head align="left" preservecase="true">
              <headtext>Registration rights</headtext>
            </head>
            <subclause1 id="a891557">
              <identifier>13.1</identifier>
              <para>
                <paratext>In consideration of the Investor subscribing for the Subscription Shares, the parties agree that:</paratext>
              </para>
              <subclause2 id="a124442">
                <identifier>(a)</identifier>
                <para>
                  <paratext>in the event of a Listing of the Company's shares on a US stock exchange (including NASDAQ), the Investor shall be entitled to registration rights on terms to be agreed which shall include:</paratext>
                </para>
                <subclause3 id="a517245">
                  <identifier>(i)</identifier>
                  <para>
                    <paratext>[NUMBER] demand registrations beginning [NUMBER] of months after the Company's Listing; and</paratext>
                  </para>
                </subclause3>
                <subclause3 id="a402024">
                  <identifier>(ii)</identifier>
                  <para>
                    <paratext>[NUMBER] piggy back registrations on all registrations by the Company for its own account.</paratext>
                  </para>
                </subclause3>
                <para>
                  <paratext>
                    All expenses of a registration will be payable by the [Company 
                    <bold>OR</bold>
                     Investor] [including the legal costs of one professional firm appointed to act on behalf of the Investor.]
                  </paratext>
                </para>
              </subclause2>
            </subclause1>
            <subclause1 id="a731374">
              <identifier>13.2</identifier>
              <para>
                <paratext>The Investor's registration rights shall be subject to such additional terms, conditions and limitations as are customary under United States securities laws, and shall be solely as provided in a written agreement to be negotiated and entered into by the Company and the Investor following the determination to seek a Listing in the United States.</paratext>
              </para>
            </subclause1>
            <subclause1 id="a930274">
              <identifier>13.3</identifier>
              <para>
                <paratext>
                  If the Company seeks a Listing in a jurisdiction other than the United States, the Company shall grant the Investor the same (or analogous) registration rights to those set out in this 
                  <internal.reference refid="a604598">clause 13</internal.reference>
                  .
                </paratext>
              </para>
            </subclause1>
          </clause>
          <clause id="a224425">
            <identifier>14.</identifier>
            <head align="left" preservecase="true">
              <headtext>Effect of ceasing to hold shares</headtext>
            </head>
            <subclause1 id="a1016931">
              <identifier>14.1</identifier>
              <para>
                <paratext>A party shall cease to be a party to this agreement for the purpose of receiving benefits and enforcing his rights from the date that he ceases to hold (or beneficially own) any shares in the capital of the Company (but without prejudice to any benefits and rights enjoyed prior to such cessation).</paratext>
              </para>
            </subclause1>
            <subclause1 id="a672035">
              <identifier>14.2</identifier>
              <para>
                <paratext>
                  A Founder's obligations under 
                  <internal.reference refid="a1031816">clause 4</internal.reference>
                  , 
                  <internal.reference refid="a985849">clause 15</internal.reference>
                   and 
                  <internal.reference refid="a507836">clause 16</internal.reference>
                   shall survive a transfer of all or any shares by the Founder, and shall survive the Founder ceasing to be a director, or employee of or consultant to the Company. But otherwise when a Founder ceases to hold shares in the Company, he shall have no further obligation or liability under this agreement, but without prejudice to the due performance by the Founder of all obligations up to the date of such cessation.
                </paratext>
              </para>
            </subclause1>
          </clause>
          <clause id="a985849">
            <identifier>15.</identifier>
            <head align="left" preservecase="true">
              <headtext>Founder covenants</headtext>
            </head>
            <drafting.note id="a721307" jurisdiction="">
              <head align="left" preservecase="true">
                <headtext>Founder covenants</headtext>
              </head>
              <division id="a000016" level="1">
                <para>
                  <paratext>Clause 15.1 sets out a series of restrictive covenants given by each Founder to the Investor. Restrictive covenants are commonly required as part of a venture capital fundraising, particularly where the experience of the founders and/or the management team is important to the growth and future success of the business. If, for example, a founder or manager was to leave and join a competitor, this could significantly disrupt the company's progress and affect its value. Restrictive covenants such as these are commonly found both in the investment agreement and in each founder's or manager's service agreement.</paratext>
                </para>
                <para>
                  <paratext>Clause 15.1 imposes a number of restrictions on the individuals specified to the effect that they will not, while working for the company, be involved in any business that competes with the company, and for a specified period after the employment, directorship or consultancy ends, they will not carry on a competing business or solicit customers, suppliers or employees from the business. The investor should consider which individuals are those whose importance to the future success of the business would merit requiring them to enter into the covenants in clause 15.1. It may be necessary to consider whether such individual would receive adequate consideration for those covenants under the investment agreement, as drafted.</paratext>
                </para>
                <para>
                  <paratext>
                    For further information on restrictive covenants in the context of a sale and purchase of shares, see 
                    <link anchor="co_anchor_a1002803" href="https://uk.practicallaw.thomsonreuters.com/4-107-3753?originationContext=document&amp;amp;transitionType=DocumentItem&amp;amp;contextData=%28sc.Default%29" style="ACTLinkURL">
                      <ital>Practice note, Share purchase agreement: Restrictive covenants</ital>
                    </link>
                    .
                  </paratext>
                </para>
                <division id="a108725" level="2">
                  <head align="left" preservecase="true">
                    <headtext>Negotiation and drafting issues</headtext>
                  </head>
                  <list type="bulleted">
                    <list.item>
                      <para>
                        <paratext>Under the common law doctrine of restraint of trade, the UK courts will refuse to enforce a restrictive covenant if the scope of the covenant goes beyond what is reasonable as regards:</paratext>
                      </para>
                      <list type="bulleted">
                        <list.item>
                          <para>
                            <paratext>The activities which the founders are prohibited from pursuing when they leave the company.</paratext>
                          </para>
                        </list.item>
                        <list.item>
                          <para>
                            <paratext>The geographical scope. The investor should only extend the area to what is necessary to protect the goodwill and the business (but note that there are no geographical restrictions during the period any founder is a director or employee of, or a consultant to, a group company).</paratext>
                          </para>
                        </list.item>
                        <list.item>
                          <para>
                            <paratext>
                              The duration of the covenant. The covenant at clause 15.1(a) applies for so long as a founder remains a director or employee of, or a consultant to, a group company. However, the covenants at clause 15.1(b) only start to run from a founder's termination date. While the courts may permit a longer period of restriction in a shareholders' agreement than they might in relation to covenants under a contract of employment, the investor should carefully consider what period of restriction is justifiable. It should also consider including wording to reduce the length of any covenant if the employee is put on garden leave (during which they remain bound by the covenant in clause 15.1(a)). This is now quite common practice and makes it less likely a court would find the covenant to be unreasonable in duration. (Although the High Court has held in one case, 
                              <ital>Tullett Prebon Plc &amp; Ors v BGC Brokers LP &amp; Ors [2010] EWHC 484 (QB)</ital>
                              , that the court can take garden leave into account when deciding on the length of any injunction, regardless of any contractual provision, it may still be prudent to include appropriate wording to avoid the argument arising). For example:
                            </paratext>
                          </para>
                          <para>
                            <paratext>"The period[s] for which the restrictions in clause 15.1(b) apply shall be reduced by any period that the Founder spends on garden leave immediately before the Termination Date".</paratext>
                          </para>
                          <para>
                            <paratext>Also, if the Articles do not include provision for the compulsory transfer of all shares held by a director, employee or consultant on leaving the group, an investor may also wish to consider whether the duration of the restrictions should be linked to the period an individual holds shares, rather than his directorship, employment or consultancy. If this approach is preferred, the permitted transfer provisions of the Articles will typically require an individual who is subject to these covenants to retain at least some shares in his own name. This will ensure that such individual may not trigger early expiry of the covenants by transferring his shares to permitted transferees.</paratext>
                          </para>
                        </list.item>
                      </list>
                      <para>
                        <paratext>
                          In view of this, the parties should seek to ensure that the restrictive covenants are reasonable. Clause 15.3(c) states that the restrictions of clause 15.1 are seen as reasonable by the parties but, if the court does not agree, this clause is also an attempt to persuade the court to delete those restrictions which are unreasonable. Note that the courts will not re-write a clause and so the deletion of offending restrictions will only work if obligations are sufficiently distinct to allow parts to be separated. The provisions of this clause should also be read in conjunction with the severance provisions in clause 21 (see 
                          <internal.reference refid="a730607">Drafting note, Severance</internal.reference>
                          ).
                        </paratext>
                      </para>
                    </list.item>
                  </list>
                  <list type="bulleted">
                    <list.item>
                      <para>
                        <paratext>The founders should consider the scope of the covenants carefully. If the founders are both employees and directors of the company, there could be alternative termination dates. In that case, the founders may wish to insist that the post-termination covenants begin to run on ceasing to hold office, even if the relevant founder continues to be employed by the company (or vice-versa). The founders should also ensure that it is clear when termination takes effect. For example, should it be the day on which they resign, or the date on which the company accepts their resignation?</paratext>
                      </para>
                    </list.item>
                    <list.item>
                      <para>
                        <paratext>
                          Note the provisions of clause 30, which provides that, if the restrictive covenants are breached, damages may not be a sufficient remedy. That clause would leave open the option for the investor and/or the company to seek injunctive relief against a founder for breach of any of the covenants in clause 15. The founders may therefore wish to seek to carve out a breach of clause 15.1 from the application of clause 30. For further background information on remedies, see 
                          <link href="http://uk.practicallaw.com/3-107-4866" style="ACTLinkURL">
                            <ital>Practice note, Remedies: equitable remedies</ital>
                          </link>
                          .
                        </paratext>
                      </para>
                    </list.item>
                  </list>
                </division>
              </division>
            </drafting.note>
            <subclause1 id="a89941">
              <identifier>15.1</identifier>
              <para>
                <paratext>To assure the Investor the value of the business of the Company and the full benefit of the goodwill of the business of the Company, each Founder hereby undertakes and covenants with the Investor and the Company that he shall not:</paratext>
              </para>
              <subclause2 id="a110157">
                <identifier>(a)</identifier>
                <para>
                  <paratext>while he is a director or employee of, or a consultant to, the Company carry on or be concerned, engaged or interested in any trade or business competing with the trade or business of the Company as carried on at the time or, in relation to any trade or business of the Company that he has been engaged or involved in, at any time during the period of [NUMBER] months before that time; or</paratext>
                </para>
              </subclause2>
              <subclause2 id="a692316">
                <identifier>(b)</identifier>
                <para>
                  <paratext>during the period of [NUMBER] months beginning on the Termination Date:</paratext>
                </para>
                <subclause3 id="a755956">
                  <identifier>(i)</identifier>
                  <para>
                    <paratext>carry on or be concerned, engaged or interested in any capacity in any trade or business competing in [INSERT GEOGRAPHIC LIMITATION] with the trade or business of the Company in which he has been engaged or involved at any time during the Relevant Period; or</paratext>
                  </para>
                  <drafting.note id="a989956" jurisdiction="">
                    <head align="left" preservecase="true">
                      <headtext>Non-compete provision</headtext>
                    </head>
                    <division id="a000017" level="1">
                      <para>
                        <paratext>In determining the geographic extent of the non-compete covenant, the parties should only extend the restricted area to what is necessary to protect the goodwill of the company and its business.</paratext>
                      </para>
                      <para>
                        <paratext>Care should be taken when determining the geographical area to be protected as this may run the risk of being unenforceable if the company does not have an interest to protect throughout the specified territory.</paratext>
                      </para>
                      <para>
                        <paratext>
                          Note that it may improve the enforceability of the provision to break the geographical area of restriction into its constituent parts. For example, under the blue-pencil test (see 
                          <internal.reference refid="a730607">Drafting note, Severance</internal.reference>
                          ), a restriction affecting England, Wales, Scotland and Northern Ireland may be more likely to survive, at least in part, than a restriction affecting the United Kingdom. On this approach, if it was considered unreasonable to extend the restriction to, for example, Scotland, the reference to Scotland could be severed while allowing the covenant to continue in force in the remainder of the restricted territory.
                        </paratext>
                      </para>
                    </division>
                  </drafting.note>
                </subclause3>
                <subclause3 id="a768299">
                  <identifier>(ii)</identifier>
                  <para>
                    <paratext>do or say anything which may lead to any person ceasing to do business with the Company on substantially the same terms as previously (or at all); or</paratext>
                  </para>
                </subclause3>
                <subclause3 id="a346917">
                  <identifier>(iii)</identifier>
                  <para>
                    <paratext>endeavour to entice away from the Company or solicit any person or firm who was a client, customer, agent or distributor of, or a supplier to, the Company at any time during the Relevant Period [and with whom the Founder shall have been engaged or involved by virtue of his duties at any time during the Relevant Period] ; or</paratext>
                  </para>
                </subclause3>
                <subclause3 id="a735697">
                  <identifier>(iv)</identifier>
                  <para>
                    <paratext>employ, engage or induce, or seek to induce, to leave the service of the Company any person who at any time during the Relevant Period is or was employed in a senior capacity by the Company and with whom the Founder shall have had dealings at any time during the Relevant Period  and whether or not such person would commit any breach of his contract of employment by reason of so leaving the service of the Company or otherwise; or</paratext>
                  </para>
                </subclause3>
                <subclause3 id="a716160">
                  <identifier>(v)</identifier>
                  <para>
                    <paratext>have any dealings with any person or firm who was a client, customer, agent or distributor of, or a supplier to, the Company at any time during the Relevant Period [and with whom the Founder shall have been engaged or involved by virtue of his duties at any time during the Relevant Period].</paratext>
                  </para>
                </subclause3>
              </subclause2>
            </subclause1>
            <subclause1 id="a752986">
              <identifier>15.2</identifier>
              <para>
                <paratext>Nothing in clause 15.1 prevents a founder from holding, for investment purposes only:</paratext>
              </para>
              <subclause2 id="a564405">
                <identifier>(a)</identifier>
                <para>
                  <paratext>any units of an authored unit trust; or</paratext>
                </para>
              </subclause2>
              <subclause2 id="a590354">
                <identifier>(b)</identifier>
                <para>
                  <paratext>not more than [NUMBER]% of any class of shares or securities of any company traded on a recognised investment exchange (within the meaning given to that term by the Financial Services and Markets Act 2000).</paratext>
                </para>
                <drafting.note id="a895528" jurisdiction="">
                  <head align="left" preservecase="true">
                    <headtext>Limitation on the covenants</headtext>
                  </head>
                  <division id="a000018" level="1">
                    <para>
                      <paratext>To increase the likelihood that the restrictive covenants will be enforceable, clause 15.2 carves out any minor investments that are or may be held by the founders.</paratext>
                    </para>
                    <para>
                      <paratext>Each founder should also consider whether they have any other interests that might need to be subject to an express carve-out from the restrictive covenants.</paratext>
                    </para>
                  </division>
                </drafting.note>
              </subclause2>
            </subclause1>
            <subclause1 id="a587232">
              <identifier>15.3</identifier>
              <para>
                <paratext>
                  Each of the covenants in 
                  <internal.reference refid="a89941">clause 15.1</internal.reference>
                  :
                </paratext>
              </para>
              <subclause2 id="a514955">
                <identifier>(a)</identifier>
                <para>
                  <paratext>
                    applies to actions carried out by a Founder in any capacity and whether directly or indirectly, on the Founder's own behalf, on behalf of any other person or firm (including as an officer or employee), or jointly with any other person; [
                    <bold>
                      <ital>Note: Does the definition of "person" include a firm?</ital>
                    </bold>
                    ]
                  </paratext>
                </para>
              </subclause2>
              <subclause2 id="a610902">
                <identifier>(b)</identifier>
                <para>
                  <paratext>is a separate undertaking by each Founder and is to be construed separately from each other covenant in clause 15.1.; and</paratext>
                </para>
              </subclause2>
              <subclause2 id="a968383">
                <identifier>(c)</identifier>
                <para>
                  <paratext>is considered fair and reasonable by the parties and that the duration, extent and application of each such covenants are no greater than is necessary for the protection of the goodwill of the business of the company. However, if any restriction is found to be void or unenforceable but would be valid or enforceable if any part or parts of it were deleted, or the period or area of application reduced, each Founder hereby agrees that such restriction shall apply with such modification as may be necessary to make it valid and enforceable.</paratext>
                </para>
              </subclause2>
            </subclause1>
            <subclause1 id="a499981">
              <identifier>15.4</identifier>
              <para>
                <paratext>
                  Each Founder acknowledges and agrees that consideration for the undertakings contained in 
                  <internal.reference refid="a89941">clause 15.1</internal.reference>
                   is included in the consideration paid by the Investor for the Subscription Shares and that this consideration adequately compensates the Founder for any restriction or restraint imposed by this agreement.
                </paratext>
              </para>
            </subclause1>
            <subclause1 id="a916798">
              <identifier>15.5</identifier>
              <para>
                <paratext>
                  Each Founder further undertakes and agrees with the Investor that he will observe any substitute restrictions (in place of those set out in 
                  <internal.reference refid="a596377">clause 1.5</internal.reference>
                  ) as the Investor may from time to time specify in writing which are less restrictive than those specified in this clause 15.
                </paratext>
              </para>
            </subclause1>
          </clause>
          <clause id="a507836">
            <identifier>16.</identifier>
            <head align="left" preservecase="true">
              <headtext>Confidentiality and announcements</headtext>
            </head>
            <subclause1 id="a904083">
              <identifier>16.1</identifier>
              <para>
                <paratext>Except as provided elsewhere in this agreement, and excluding any information which is in the public domain (other than through the wrongful disclosure of any party), or which any party is required to disclose by law or by the rules of any regulatory body to which the Company is subject, each party agrees to keep secret and confidential and not to use, disclose or divulge to any third party [(other than a party's professional advisers)] any:</paratext>
              </para>
              <subclause2 id="a153811">
                <identifier>(a)</identifier>
                <para>
                  <paratext>confidential information relating to the Company (including the Intellectual Property, customer lists, reports, notes, memoranda and all other documentary records pertaining to the Company or its business affairs, finances, suppliers, customers or contractual or other arrangements); or</paratext>
                </para>
              </subclause2>
              <subclause2 id="a583667">
                <identifier>(b)</identifier>
                <para>
                  <paratext>information relating to the negotiation, provisions or subject matter of this agreement (or any document referred to in it); or</paratext>
                </para>
              </subclause2>
              <subclause2 id="a420310">
                <identifier>(c)</identifier>
                <para>
                  <paratext>information concerning the Investor [or any member of its group].</paratext>
                </para>
              </subclause2>
            </subclause1>
            <subclause1 id="a560287">
              <identifier>16.2</identifier>
              <para>
                <paratext>
                  Except in accordance with 
                  <internal.reference refid="a546838">clause 16.3</internal.reference>
                  , the parties shall not make any public announcement or issue a press release or respond to any enquiry from the press or other media that concerns or relates to this agreement or its subject matter (including, but not limited to, the Investor's investment in the Company) or any ancillary matter.
                </paratext>
              </para>
            </subclause1>
            <subclause1 id="a546838">
              <identifier>16.3</identifier>
              <para>
                <paratext>
                  Notwithstanding 
                  <internal.reference refid="a560287">clause 16.2</internal.reference>
                  , any party may, with the prior written approval of the [Investor 
                  <bold>OR</bold>
                   Investor Director] and the Board, make or permit to be made an announcement concerning or relating to this agreement, or its subject matter or any ancillary matter if and to the extent required by:
                </paratext>
              </para>
              <subclause2 id="a552869">
                <identifier>(a)</identifier>
                <para>
                  <paratext>law; or</paratext>
                </para>
              </subclause2>
              <subclause2 id="a552619">
                <identifier>(b)</identifier>
                <para>
                  <paratext>any securities exchange on which either party's securities are listed or traded; or</paratext>
                </para>
              </subclause2>
              <subclause2 id="a828931">
                <identifier>(c)</identifier>
                <para>
                  <paratext>any regulatory or governmental or other authority with relevant powers to which either party is subject or submits, whether or not the requirement has the force of law.</paratext>
                </para>
              </subclause2>
            </subclause1>
          </clause>
          <clause id="a773178">
            <identifier>17.</identifier>
            <head align="left" preservecase="true">
              <headtext>Assignment and other dealings</headtext>
            </head>
            <subclause1 id="a666714">
              <identifier>17.1</identifier>
              <para>
                <paratext>
                  Subject to 
                  <internal.reference refid="a611311">clause 17.2</internal.reference>
                  , no party shall assign, transfer, mortgage, charge, declare a trust of, or deal in any other manner with any or all of its rights and obligations under this agreement [(or any other document referred to in it)] [without the prior written consent of [the Investor 
                  <bold>OR </bold>
                  the other parties] [(such consent not to be unreasonably withheld or delayed)]].
                </paratext>
              </para>
            </subclause1>
            <subclause1 id="a611311">
              <identifier>17.2</identifier>
              <para>
                <paratext>
                  The Investor may assign or transfer any or all of its rights (but not its obligations) under this agreement [(or any document referred to in this agreement)] to any [Permitted Transferee 
                  <bold>OR </bold>
                  person who has received a transfer of shares in the capital of the Company from the Investor in accordance with the Articles and who has executed a Deed of Adherence].
                </paratext>
              </para>
            </subclause1>
            <subclause1 condition="optional" id="a307915">
              <identifier>17.3</identifier>
              <para>
                <paratext>
                  Notwithstanding 
                  <internal.reference refid="a507836">clause 16</internal.reference>
                  , the Investor may disclose to a proposed assignee any information in its possession that relates to this agreement or its subject matter, the negotiations relating to it and the other parties which it is [reasonably] necessary to disclose for the purposes of the proposed assignment, provided that no disclosure pursuant to this 
                  <internal.reference refid="a307915">clause 17.3</internal.reference>
                   shall be made until notice of the identity of the proposed assignee has been given to the other parties.
                </paratext>
              </para>
            </subclause1>
          </clause>
          <clause id="a986742">
            <identifier>18.</identifier>
            <head align="left" preservecase="true">
              <headtext>Third party rights</headtext>
            </head>
            <drafting.note id="a870674" jurisdiction="">
              <head align="left" preservecase="true">
                <headtext>Third party rights</headtext>
              </head>
              <division id="a000019" level="1">
                <para>
                  <paratext>
                    <internal.reference refid="a387794">Clause 18.1</internal.reference>
                     seeks to prevent any third parties from inadvertently being given the right to enforce the agreement. It makes it clear that, in general, the provisions of the agreement are personal to parties and do not confer any benefit on third parties.
                  </paratext>
                </para>
                <para>
                  <paratext>
                    <internal.reference refid="a753526">Clause 18.2</internal.reference>
                     provides an exception to that general rule, as it specifically permits the general partner of the investor or the management company acting on behalf of the investor to enforce the rights and benefits of the agreement as if it were a party to it.
                  </paratext>
                </para>
                <para>
                  <paratext>
                    <internal.reference refid="a319225">Clause 18.3</internal.reference>
                     should only be used if party rights have been granted under the 1999 Act. Delete it if all rights under the 1999 Act have been excluded. It excludes the third party's right of consent to rescission or a variation of the contract.
                  </paratext>
                </para>
                <para>
                  <paratext>
                    For more, see 
                    <link href="6-107-3846" style="ACTLinkPLCtoPLC">
                      <ital>Standard clause, Third party rights</ital>
                    </link>
                     and the related integrated drafting notes.
                  </paratext>
                </para>
                <division id="a603393" level="2">
                  <head align="left" preservecase="true">
                    <headtext>Legal issues</headtext>
                  </head>
                  <para>
                    <paratext>
                      The common law doctrine of privity of contract provides that the only persons entitled to the benefit of a contract, and to enforce rights under it, are those persons who are parties to the contract. However, this doctrine has been modified by the statutory rights conferred on third parties by the 
                      <link href="9-505-5610" style="ACTLinkPLCtoPLC">
                        <ital>Contracts (Rights of Third Parties) Act 1999</ital>
                      </link>
                       (Third Party Rights Act). The Third Party Rights Act made it possible for a non-party to enforce a contract term in its favour, which had until then been achievable only by indirect routes.
                    </paratext>
                  </para>
                  <para>
                    <paratext>Subject to contrary provision, where the Third Party Rights Act applies:</paratext>
                  </para>
                  <list type="bulleted">
                    <list.item>
                      <para>
                        <paratext>
                          If a third party would benefit from enforcing a contract term, it may have the right to do so (see 
                          <link href="8-380-8057#a964634" style="ACTLinkPLCtoPLC">
                            <ital>Practice note, Contracts: privity and third party rights and obligations: The third party right</ital>
                          </link>
                          ). Note that the Third Party Rights Act can only operate to confer rights and cannot transfer obligations.
                        </paratext>
                      </para>
                    </list.item>
                    <list.item>
                      <para>
                        <paratext>
                          If the contract creates a third party right under the Third Party Rights Act, the parties' freedom to vary or rescind the contract is limited (see 
                          <link href="8-380-8057#a1000094" style="ACTLinkPLCtoPLC">
                            <ital>Practice note, Contracts: privity and third party rights and obligations: Variation and rescission</ital>
                          </link>
                          ).
                        </paratext>
                      </para>
                    </list.item>
                  </list>
                  <para>
                    <paratext>
                      If these effects are not desired, express wording is required to exclude them. For more information on the rights of third parties to enforce a contract and the process for excluding those rights, see 
                      <link href="8-380-8057" style="ACTLinkPLCtoPLC">
                        <ital>Practice note, Contracts: privity and third party rights and obligations</ital>
                      </link>
                       and the integrated drafting notes in 
                      <link href="6-107-3846" style="ACTLinkPLCtoPLC">
                        <ital>Standard document, Third party rights</ital>
                      </link>
                      .
                    </paratext>
                  </para>
                </division>
              </division>
            </drafting.note>
            <subclause1 id="a387794">
              <identifier>18.1</identifier>
              <para>
                <paratext>
                  [Except as provided in 
                  <internal.reference refid="a753526">clause 18.2</internal.reference>
                  , this 
                  <bold>OR</bold>
                   This] agreement does not give rise to any rights under the Contracts (Rights of Third Parties) Act 1999 to enforce any term of this agreement.
                </paratext>
              </para>
            </subclause1>
            <subclause1 condition="optional" id="a753526">
              <identifier>18.2</identifier>
              <para>
                <paratext>The general partner of the Investor or the management company authorised from time to time to act on behalf of the Investor or another person or persons nominated by the Investor, shall be entitled to enforce all of the Investor's rights and benefits under this agreement at all times as if it were a party to this agreement.</paratext>
              </para>
            </subclause1>
            <subclause1 condition="optional" id="a434877">
              <identifier>18.3</identifier>
              <para>
                <paratext>The rights of the parties to rescind or vary this agreement are not subject to the consent of any other person.</paratext>
              </para>
            </subclause1>
          </clause>
          <clause id="a823417">
            <identifier>19.</identifier>
            <head align="left" preservecase="true">
              <headtext>Agreement survives completion</headtext>
            </head>
            <drafting.note id="a905196" jurisdiction="">
              <head align="left" preservecase="true">
                <headtext>Effect of Completion</headtext>
              </head>
              <division id="a000020" level="1">
                <para>
                  <paratext>This clause is intended to prevent the application of the doctrine of merger of a contract. Under this doctrine, on completion of an executory contract, the contract will merge with an implementing deed to the extent that the contract and deed cover the same ground. As there is generally no implementing deed in a venture capital investment, the doctrine of merger is unlikely to be relevant. However, to address the possibility that the courts could apply to doctrine by analogy to an investment, it is prudent to include an express provision preserving the enforceability of the agreement following completion.</paratext>
                </para>
              </division>
            </drafting.note>
            <subclause1 id="a452966">
              <para>
                <paratext>This agreement (other than obligations that have already been fully performed) remains in full force after Completion.</paratext>
              </para>
            </subclause1>
          </clause>
          <clause id="a431549">
            <identifier>20.</identifier>
            <head align="left" preservecase="true">
              <headtext>Status of agreement</headtext>
            </head>
            <drafting.note id="a640295" jurisdiction="">
              <head align="left" preservecase="true">
                <headtext>Status of agreement</headtext>
              </head>
              <division id="a000021" level="1">
                <para>
                  <paratext>
                    <bold>Conflict with articles</bold>
                  </paratext>
                </para>
                <para>
                  <paratext>
                    It is common for the investment agreement to be expressed to be the prevailing contract between the parties in the event of any conflict with the articles of association. This ensures that the remedy of an injunction will usually be available to ensure that each shareholder takes the necessary voting action when voting as a shareholder of the Company to give effect to its terms (
                    <link href="https://uk.practicallaw.thomsonreuters.com/D-016-7157?originationContext=document&amp;amp;transitionType=PLDocumentLink&amp;amp;contextData=%28sc.Default%29" style="ACTLinkURL">
                      <ital>Greenwell v Porter [1902] 1 Ch 530</ital>
                    </link>
                     and 
                    <link href="https://uk.practicallaw.thomsonreuters.com/D-016-7158?originationContext=document&amp;amp;transitionType=PLDocumentLink&amp;amp;contextData=%28sc.Default%29" style="ACTLinkURL">
                      <ital>Puddephat v Leigh [1916] 1 Ch 200</ital>
                    </link>
                    ). As the Company is a party to the agreement, the obligations in clause 20 apply to the Shareholders and not all parties, to avoid the Company being bound by a provision that would risk being an unlawful fetter on its statutory powers.
                  </paratext>
                </para>
                <para>
                  <paratext>
                    If the investment agreement covers some of the same matters as the articles of association, a provision to the effect that the investment agreement should take precedence over the articles on its own might indicate that the agreement should prevail in place of the articles and should therefore be registered under 
                    <link href="https://uk.practicallaw.thomsonreuters.com/9-505-5078?originationContext=document&amp;amp;transitionType=PLDocumentLink&amp;amp;contextData=%28sc.Default%29" style="ACTLinkURL">
                      <ital>sections 29</ital>
                    </link>
                     and 
                    <link href="https://uk.practicallaw.thomsonreuters.com/4-505-7131?originationContext=document&amp;amp;transitionType=PLDocumentLink&amp;amp;contextData=%28sc.Default%29" style="ACTLinkURL">
                      <ital>30</ital>
                    </link>
                     of the Companies Act 2006. As a result, this provision is typically coupled with a provision that the parties will exercise their powers to amend any conflicting provisions in the articles.
                  </paratext>
                </para>
              </division>
            </drafting.note>
            <subclause1 id="a678616">
              <identifier>20.1</identifier>
              <para>
                <paratext>Each Shareholder shall, to the extent that it is able to do so, exercise all its voting rights and other powers in relation to the Company to procure that the provisions of this agreement are properly and promptly observed and given full force and effect according to the spirit and intention of the agreement.</paratext>
              </para>
            </subclause1>
            <subclause1 id="a375237">
              <identifier>20.2</identifier>
              <para>
                <paratext>If there is an inconsistency between any of the provisions of this agreement and the provisions of the Articles, the provisions of this agreement shall prevail as between the parties.</paratext>
              </para>
            </subclause1>
            <subclause1 id="a592247">
              <identifier>20.3</identifier>
              <para>
                <paratext>The Shareholders shall, when necessary, exercise their powers of voting and any other rights and powers they have to amend, waive or suspend a conflicting provision in the Articles to the extent necessary to permit the Company and its business to be administered as provided in this agreement.</paratext>
              </para>
            </subclause1>
          </clause>
          <clause id="a140023">
            <identifier>21.</identifier>
            <head align="left" preservecase="true">
              <headtext>Severance</headtext>
            </head>
            <drafting.note id="a730607" jurisdiction="">
              <head align="left" preservecase="true">
                <headtext>Severance</headtext>
              </head>
              <division id="a000022" level="1">
                <para>
                  <paratext>Parties may subsequently find that their agreement contains provisions which are illegal, with the result that all or part of the contract could be void or unenforceable. The purpose of a severance clause is to make clear that, in such a case, the parties intend the agreement to survive by severing the offending provisions from the rest of the agreement.</paratext>
                </para>
                <para>
                  <paratext>
                    The doctrine of severance is likely to be applied by the courts whether or not there is an express severance provision (
                    <link href="D-000-5178" style="ACTLinkURL">
                      <ital>Living Design (Home Improvement) Ltd v Davidson [1994] IRLR 69 (Ct Sess)</ital>
                    </link>
                    ). Nevertheless, in practice it is advisable to include an express clause, because:
                  </paratext>
                </para>
                <list type="bulleted">
                  <list.item>
                    <para>
                      <paratext>If a clause is not used, the application of the doctrine of severance by the courts could be more restrictive than under an express clause.</paratext>
                    </para>
                  </list.item>
                  <list.item>
                    <para>
                      <paratext>The inclusion of a clause gives some moral weight to how the position should be resolved between the parties, if provisions in the contract prove to be invalid or illegal.</paratext>
                    </para>
                  </list.item>
                </list>
                <para>
                  <paratext>
                    As a general rule, the courts will not make a new contract for the parties, whether by rewriting any provision in an existing contract or by altering its basic nature. Nor is it possible for the contract to confer on the court any additional power to re-write a clause or to reduce either its geographical scope or the period for which it is effective (
                    <ital>Living Design</ital>
                     and 
                    <link href="D-000-3621" style="ACTLinkURL">
                      <ital>Francotyp-Postalia Ltd v Whitehead and others [2011] EWHC 367 (Ch)</ital>
                    </link>
                    ).
                  </paratext>
                </para>
                <para>
                  <paratext>
                    This clause is particularly relevant to the enforcement of any restrictive covenants given by the Founders, the enforceability of which may ultimately be a matter for the courts (see 
                    <internal.reference refid="a985849">clause 15</internal.reference>
                    ).
                  </paratext>
                </para>
                <para>
                  <paratext>
                    For further information in relation to the legal and commercial issues relating to severance, see 
                    <link href="9-107-3840" style="ACTLinkPLCtoPLC">
                      <ital>Standard clause, Severance</ital>
                    </link>
                     and the related drafting notes.
                  </paratext>
                </para>
              </division>
            </drafting.note>
            <subclause1 id="a937917">
              <para>
                <paratex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paratext>
              </para>
            </subclause1>
          </clause>
          <clause id="a256984">
            <identifier>22.</identifier>
            <head align="left" preservecase="true">
              <headtext>Variation and waiver</headtext>
            </head>
            <subclause1 id="a414685">
              <identifier>22.1</identifier>
              <para>
                <paratext>
                  No variation of this agreement shall be effective unless it is in writing and signed by [the parties (or their authorised representatives) 
                  <bold>OR</bold>
                   the Company[, by the Investor] and by Shareholders (excluding [the Investor and] any holder(s) of shares for the time being held in treasury) holding between them at least [PERCENTAGE]% of the issued share capital of the Company, in which event such change shall be binding against all of the parties to this agreement, provided that if such change would impose any new obligations on a party, [vary an express contractual right of that party under this agreement] or increase any existing obligation , the consent of the affected party shall be specifically required].
                </paratext>
              </para>
              <drafting.note id="a782409" jurisdiction="">
                <head align="left" preservecase="true">
                  <headtext>Variation</headtext>
                </head>
                <division id="a000023" level="1">
                  <para>
                    <paratext>This clause aims to exclude the possibility of informal, and perhaps inadvertent, oral variations being made to the agreement by requiring the parties to follow a prescribed procedure to vary the agreement.</paratext>
                  </para>
                  <para>
                    <paratext>There are a number of issues regarding the legal effectiveness of variation clauses. For further information, see:</paratext>
                  </para>
                  <list type="bulleted">
                    <list.item>
                      <para>
                        <paratext>
                          <link href="7-380-8331" style="ACTLinkPLCtoPLC">
                            <ital>Practice note, Contracts: variation</ital>
                          </link>
                          .
                        </paratext>
                      </para>
                    </list.item>
                    <list.item>
                      <para>
                        <paratext>
                          <link href="3-107-3838" style="ACTLinkPLCtoPLC">
                            <ital>Standard clause, Variation</ital>
                          </link>
                          .
                        </paratext>
                      </para>
                    </list.item>
                  </list>
                  <division id="a546777" level="2">
                    <head align="left" preservecase="true">
                      <headtext>Varying a deed</headtext>
                    </head>
                    <para>
                      <paratext>
                        If the agreement is structured and executed as a deed, it is best practice to require any variations to also be executed as a deed. However, this is not necessarily a legal requirement as there is a rule of equity that a deed can be varied by a simple contract, provided there is consideration. This equitable rule prevails over the common law rule that a deed can only be varied by a deed (
                        <link href="0-508-2458" style="ACTLinkPLCtoPLC">
                          <ital>section 49</ital>
                        </link>
                        <ital>, Senior Courts Act 1981</ital>
                        ).
                      </paratext>
                    </para>
                  </division>
                  <division id="a916965" level="2">
                    <head align="left" preservecase="true">
                      <headtext>Negotiation and drafting issues</headtext>
                    </head>
                    <para>
                      <paratext>Consider whether the unanimous agreement of all parties should be required to vary the agreement, rather than some lesser proportion. In practice, particularly some years after the initial investment, unanimity may not be feasible, for example if the company's shareholder base is more diverse as a result of permitted transfers. However, changes consented to by all parties will be less susceptible to challenge.</paratext>
                    </para>
                    <para>
                      <paratext>If unanimity is not required, consider whether the Investor's consent will be expressly required, or whether the consent required of the Shareholders generally should be set at a level that would or would not require the consent of the Investor.</paratext>
                    </para>
                  </division>
                </division>
              </drafting.note>
            </subclause1>
            <subclause1 id="a976147">
              <identifier>22.2</identifier>
              <para>
                <paratext>A waiver of any right or remedy under this agreement or by law is only effective if given in writing and signed by the person waiving such right or remedy. Any such waiver shall apply only to the circumstances for which it is given and shall not be deemed a waiver of any subsequent breach or default.</paratext>
              </para>
              <drafting.note id="a891190" jurisdiction="">
                <head align="left" preservecase="true">
                  <headtext>Waiver</headtext>
                </head>
                <division id="a000024" level="1">
                  <para>
                    <paratext>The purpose of this clause is to ensure that, if a party agrees to waive its rights (whether under the agreement or at common law) in respect of the other party's breach, the waiver is only effective if made in writing.</paratext>
                  </para>
                  <para>
                    <paratext>The second part of the clause deals with waivers for future breaches, so that if a party agrees in writing to waive one breach, that waiver does not apply to future circumstances.</paratext>
                  </para>
                  <para>
                    <paratext>For further information in relation to waiver and "no waiver" clauses, see:</paratext>
                  </para>
                  <list type="bulleted">
                    <list.item>
                      <para>
                        <paratext>
                          <link href="0-502-8838" style="ACTLinkPLCtoPLC">
                            <ital>Practice note, Contracts: waiver</ital>
                          </link>
                          .
                        </paratext>
                      </para>
                    </list.item>
                    <list.item>
                      <para>
                        <paratext>
                          <link href="0-107-3806" style="ACTLinkPLCtoPLC">
                            <ital>Standard clause, Waiver</ital>
                          </link>
                           and the related drafting notes.
                        </paratext>
                      </para>
                    </list.item>
                  </list>
                </division>
              </drafting.note>
            </subclause1>
            <subclause1 id="a901948">
              <identifier>22.3</identifier>
              <para>
                <paratext>A failure or delay by a party to exercise any right or remedy provided under this agreement or by law shall not constitute a waiver of that or any other right or remedy, nor shall it prevent or restrict any further exercise of that or any other right or remedy. No single or partial exercise of such right or remedy provided under this agreement or by law shall prevent or restrict the further exercise of that or any other right or remedy.</paratext>
              </para>
              <drafting.note id="a587656" jurisdiction="">
                <head align="left" preservecase="true">
                  <headtext>Failure or delay in exercising rights</headtext>
                </head>
                <division id="a000025" level="1">
                  <para>
                    <paratext>
                      See 
                      <link href="0-107-3806" style="ACTLinkPLCtoPLC">
                        <ital>Standard clause, Waiver</ital>
                      </link>
                      . This clause is the most common form of no waiver clause. It covers the innocent party's failure or delay in asserting its rights (both contractual and common law).
                    </paratext>
                  </para>
                  <para>
                    <paratext>
                      The common law doctrine of 
                      <link href="3-383-9179" style="ACTLinkPLCtoPLC">
                        <bold>
                          <ital>laches</ital>
                        </bold>
                      </link>
                       may operate to restrict or prevent a party from enforcing its rights if it delays in taking action to do so. This clause aims to prevent this from happening.
                    </paratext>
                  </para>
                  <para>
                    <paratext>In addition, this clause seeks to ensure, for example, that a decision by the investor not to pursue a particular warranty claim will not prejudice its ability to pursue any subsequent claims.</paratext>
                  </para>
                </division>
              </drafting.note>
            </subclause1>
            <subclause1 id="a751722">
              <identifier>22.4</identifier>
              <para>
                <paratext>A person that waives a right or remedy provided under this agreement or by law in relation to one person, or takes or fails to take any action against that person, does not affect its rights or remedies in relation to any other person.</paratext>
              </para>
              <drafting.note id="a117484" jurisdiction="">
                <head align="left" preservecase="true">
                  <headtext>Waiver of rights in relation to one person</headtext>
                </head>
                <division id="a000026" level="1">
                  <para>
                    <paratext>This clause refers to "persons" instead of "parties" to deal with situations in which third parties are granted rights under the agreement.</paratext>
                  </para>
                </division>
              </drafting.note>
            </subclause1>
          </clause>
          <clause id="a941668">
            <identifier>23.</identifier>
            <head align="left" preservecase="true">
              <headtext>Costs</headtext>
            </head>
            <drafting.note id="a694769" jurisdiction="">
              <head align="left" preservecase="true">
                <headtext>Costs</headtext>
              </head>
              <division id="a000027" level="1">
                <para>
                  <paratext>Unless a contract expressly states otherwise, each party bears the costs it incurs in negotiating and performing the contract. If each party to the agreement is to pay its own costs and expenses, clause 23 may be omitted, although a clause stating that fact would be useful to rebut any argument that one party had agreed to pay some or all of the costs of another party.</paratext>
                </para>
                <para>
                  <paratext>It is, however, common for venture capital investors to require the Company to meet the Investor's transaction costs. Clause 23.2, which sets out such an obligation, is widely drafted. It provides that the Company will bear all legal, accounting and due diligence fees and expenses not only in relation to the agreement, but also in relation to every other document referred to in it.</paratext>
                </para>
                <para>
                  <paratext>While the Company is unlikely to succeed in resisting this obligation, it should seek to cap the amount it may be required to pay. It should also consider whether to restrict the obligation to paying only the Investor's reasonable fees and/or limiting the scope of the fees it will pay. Consider also whether the Investor should be entitled to deduct these amounts directly from the amounts that it is due to pay for the subscription shares at Completion.</paratext>
                </para>
                <para>
                  <paratext>The remaining parties to the agreement are left to pay their own costs and expenses (clause 23.1).</paratext>
                </para>
                <para>
                  <paratext>
                    For general information on costs clauses, see 
                    <link href="6-107-3832" style="ACTLinkPLCtoPLC">
                      <ital>Standard clause, Costs</ital>
                    </link>
                    .
                  </paratext>
                </para>
              </division>
            </drafting.note>
            <subclause1 id="a363269">
              <identifier>23.1</identifier>
              <para>
                <paratext>
                  Subject to 
                  <internal.reference refid="a303894">clause 23.2</internal.reference>
                   and except as expressly provided in this agreement, each party shall pay its own costs incurred in connection with the negotiation, preparation, execution and performance of this agreement (and any documents referred to in it).
                </paratext>
              </para>
            </subclause1>
            <subclause1 id="a303894">
              <identifier>23.2</identifier>
              <para>
                <paratext>At Completion, the Company shall pay all [reasonable] legal, accounting and due diligence fees and disbursements of the Investor in relation to the negotiation, preparation, execution and performance of this agreement (and any documents referred to in it) [up to a maximum amount of £[AMOUNT] [plus VAT]].</paratext>
              </para>
            </subclause1>
          </clause>
          <clause id="a543037">
            <identifier>24.</identifier>
            <head align="left" preservecase="true">
              <headtext>Entire agreement</headtext>
            </head>
            <drafting.note id="a930883" jurisdiction="">
              <head align="left" preservecase="true">
                <headtext>Entire agreement</headtext>
              </head>
              <division id="a000028" level="1">
                <para>
                  <paratext>Clause 24 seeks to prevent the parties from being liable for any statements or representations (including pre-contractual representations) except as expressly set out in the agreement or documents referred to in the agreement.</paratext>
                </para>
                <para>
                  <paratext>
                    For detailed consideration of the legal issues relating to entire agreement clauses, see the integrated drafting notes to 
                    <link href="2-107-3834" style="ACTLinkPLCtoPLC">
                      <ital>Standard clause, Entire agreement</ital>
                    </link>
                     (see, in particular, 
                    <link anchor="a223137" href="2-107-3834" style="ACTLinkPLCtoPLC">
                      <ital>Drafting note, About this clause</ital>
                    </link>
                    ).
                  </paratext>
                </para>
                <para>
                  <paratext>The clause is an exclusion clause so is likely to be construed against the person seeking to rely on it. Always bear this clause in mind while negotiating. If there are any side letters or ancillary documents to the agreement (which often appear just before signing), this clause may need to be amended.</paratext>
                </para>
              </division>
            </drafting.note>
            <subclause1 id="a707951">
              <identifier>24.1</identifier>
              <para>
                <paratext>
                  This agreement [(together with the documents referred to in it)], constitutes the entire agreement between the parties and supersedes and extinguishes all previous discussions, correspondence, negotiations, drafts, agreements, promises, assurances, warranties, representations, arrangements and understandings between them, whether written or oral, relating to [its 
                  <bold>OR</bold>
                   their] subject matter.
                </paratext>
              </para>
              <drafting.note id="a600488" jurisdiction="">
                <head align="left" preservecase="true">
                  <headtext>Multiple agreements</headtext>
                </head>
                <division id="a000029" level="1">
                  <para>
                    <paratext>
                      Clause 24.1 sets out the basic entire agreement statement included in all entire agreement clauses. It is intended to prevent statements or representations that are not set out in a written agreement from having contractual force. See further 
                      <link anchor="a359983" href="3-503-7049" style="ACTLinkPLCtoPLC">
                        <ital>Practice note, Contracts: entire agreement clauses: Entire agreement statement</ital>
                      </link>
                      .
                    </paratext>
                  </para>
                  <para>
                    <paratext>Ensure that the entire agreement clause captures all documents comprising the transaction in question. Consider identifying any other specific documents in this clause, or including the words in square brackets in the first line if the transaction documents comprise more than just the main investment agreement.</paratext>
                  </para>
                </division>
              </drafting.note>
            </subclause1>
            <subclause1 id="a644280">
              <identifier>24.2</identifier>
              <para>
                <paratext>Each party acknowledges that in entering into this agreement [and any documents referred to in it], it does not rely on, and shall have no remedies in respect of, any statement, representation, assurance or warranty (whether made innocently or negligently) that is not set out in this agreement [or those documents].</paratext>
              </para>
              <drafting.note id="a107509" jurisdiction="">
                <head align="left" preservecase="true">
                  <headtext>Non-reliance statement</headtext>
                </head>
                <division id="a000030" level="1">
                  <para>
                    <paratext>
                      <internal.reference refid="a644280">Clause 24.2</internal.reference>
                       combines a non-reliance statement with an exclusion of liability for misrepresentation in respect of any pre-contractual representations made by any party. It is directed at representations that have not been incorporated into the final agreement (by contrast, 
                      <internal.reference refid="a680589">clause 24.3</internal.reference>
                       deals with liability for misrepresentations that have become part of the written agreement and documents referred to in it).
                    </paratext>
                  </para>
                  <para>
                    <paratext>
                      This clause may or may not amount to an exclusion of liability for misrepresentation. If it is classified as a "basis clause", it is not an exclusion and will not be subject to UCTA. If it is in fact an attempt to recharacterise the parties' dealing, it will constitute an exclusion, and will only be enforceable to the extent it satisfies the UCTA reasonableness test. The correct classification of the clause will always be a question of fact to be determined by reference to the parties' dealings. See further 
                      <link anchor="a904596" href="3-503-7049" style="ACTLinkPLCtoPLC">
                        <ital>Practice note, Contracts: entire agreement clauses: Is a non-reliance statement subject to section 3 of the Misrepresentation Act 1967?</ital>
                      </link>
                      .
                    </paratext>
                  </para>
                  <para>
                    <paratext>The clause refers to innocent and negligent statements to make sure liability for negligent misrepresentations is caught. Do not add "fraudulently" to the clause; even if commercially acceptable, it would not be valid. Also ensure that this clause does not conflict with any cumulative remedies provision in the agreement.</paratext>
                  </para>
                </division>
              </drafting.note>
            </subclause1>
            <subclause1 condition="optional" id="a680589">
              <identifier>24.3</identifier>
              <para>
                <paratext>Each party agrees that it shall have no claim for innocent or negligent misrepresentation [or negligent misstatement] based on any statement or warranty in this agreement.</paratext>
              </para>
              <drafting.note id="a746454" jurisdiction="">
                <head align="left" preservecase="true">
                  <headtext>Exclusion of remedies (optional)</headtext>
                </head>
                <division id="a000031" level="1">
                  <para>
                    <paratext>
                      Optional clause 24.3 excludes remedies for innocent and negligent misrepresentation that might otherwise be based on the warranties or other statements contained in the agreement (by contrast, 
                      <internal.reference refid="a644280">clause 24.2</internal.reference>
                       excludes liability for misrepresentations that are not set out in the agreement). This means that, if any of the warranties is untrue, the investor will not be able to use the Misrepresentation Act 1967 to rescind the contract, nor will it be able to claim damages on the tortious measure. The investor will still have remedies for breach of contract in respect of the untrue warranty, together with any other remedies that might be available under other branches of law.
                    </paratext>
                  </para>
                  <para>
                    <paratext>Before including this clause, consider carefully whether it is appropriate. An investor may actively want to preserve its right to rescind the agreement if warranties turn out to be false.</paratext>
                  </para>
                  <para>
                    <paratext>
                      This clause is a clear restriction of liability for misrepresentation. As such, it will only be effective to the extent that it satisfies the UCTA reasonableness test (see 
                      <link anchor="a651441" href="3-503-7049" style="ACTLinkPLCtoPLC">
                        <ital>Practice note, Contracts: entire agreement clauses: Express exclusion of liability</ital>
                      </link>
                      ).
                    </paratext>
                  </para>
                  <para>
                    <paratext>The clause refers expressly to innocent and negligent representation in order to make sure remedies for negligent misrepresentation are excluded. Do not add "fraudulent misrepresentation" to the clause; even if commercially acceptable, it would not be valid.</paratext>
                  </para>
                </division>
              </drafting.note>
            </subclause1>
            <subclause1 condition="optional" id="a498782">
              <identifier>24.4</identifier>
              <para>
                <paratext>
                  Nothing in this 
                  <internal.reference refid="a543037">clause 24</internal.reference>
                   shall limit or exclude any liability for fraud.
                </paratext>
              </para>
              <drafting.note id="a953143" jurisdiction="">
                <head align="left" preservecase="true">
                  <headtext>Express carve-out for fraud (optional)</headtext>
                </head>
                <division id="a000032" level="1">
                  <para>
                    <paratext>
                      Recent case law in this area suggests that it is unnecessary to include an express carve-out for fraud from a clause which seeks to exclude liability for misrepresentation (see 
                      <link href="3-503-7049#a596626" style="ACTLinkPLCtoPLC">
                        <ital>Practice note, Contracts: entire agreement clauses: Express carve-out in respect of fraud</ital>
                      </link>
                      ). However, if such a carve-out is included, be careful to carve out liability for fraud from any other clause in the agreement that seeks to limit the parties' liability. Otherwise, the courts may draw conclusions from the discrepancy.
                    </paratext>
                  </para>
                </division>
              </drafting.note>
            </subclause1>
          </clause>
          <clause id="a811689">
            <identifier>25.</identifier>
            <head align="left" preservecase="true">
              <headtext>Notices</headtext>
            </head>
            <drafting.note id="a551116" jurisdiction="">
              <head align="left" preservecase="true">
                <headtext>Notices</headtext>
              </head>
              <division id="a000033" level="1">
                <para>
                  <paratext>
                    This 
                    <internal.reference refid="a157769">clause 25</internal.reference>
                     governs the manner in which any notice under the agreement must be given and the time at which such notice is deemed to be received.
                  </paratext>
                </para>
                <para>
                  <paratext>
                    Mandatory notice provisions can be interpreted strictly and can be a very important part of the agreement because they determine when other rights under the agreement are triggered. For example, whether or not a warranty claim is time barred by the limitation on liability set out in 
                    <internal.reference refid="a233544">clause 5.2</internal.reference>
                     may depend upon whether notice of that claim has been validly served within the timeframe specified in that clause.
                  </paratext>
                </para>
                <para>
                  <paratext>
                    This 
                    <internal.reference refid="a157769">clause 25</internal.reference>
                     should not conflict with the notice provisions in the Company's articles of association to avoid practical problems for those who have to operate the provisions.
                  </paratext>
                </para>
                <para>
                  <paratext>
                    <bold>Service of notices by email</bold>
                  </paratext>
                </para>
                <para>
                  <paratext>It may be appropriate for the Company's articles of association to allow the service of certain notices and documents by electronic means (such as email). For example, this may be appropriate in the context of giving notice of directors' meetings in accordance with the articles but may not be considered appropriate, for evidential reasons, when, for example, instituting a claim for breach of warranty under the investment agreement.</paratext>
                </para>
                <para>
                  <paratext>
                    Accordingly, the notice provisions of this document permit the sending of certain notices under 
                    <internal.reference refid="a454481">clause 7</internal.reference>
                     by email (and includes the possibility of extending that method of service to other provisions of the agreement), but for all other types of notices served or sent under the investment agreement, the use of email is excluded due to evidential difficulties.
                  </paratext>
                </para>
                <para>
                  <paratext>
                    An investor may be happy to have the power to serve notices on the Company by email. In particular, giving consent to particular matters by email will reduce administrative delay at a time when speed of action may be important. However, that same investor may be less persuaded that it should accept notices by email from the Company or any other party (see, for example, 
                    <internal.reference refid="a900822">clause 7.6(a)</internal.reference>
                     under which the Company must sent reasonable notice of board meetings to the Investor Director). If email notices are permitted, each party should give careful thought to which email address should be provided (taking particular account of the fact that any given individual may subsequently leave the relevant party, or may simply be on holiday at the time of service of a notice).
                  </paratext>
                </para>
                <para>
                  <paratext>
                    Note that, under 
                    <link href="0-385-7867" style="ACTLinkPLCtoPLC">
                      <ital>Standard document, Articles of association (Model Articles): non-leveraged investments</ital>
                    </link>
                    , decisions of directors taken by electronic means such as email must be recorded in a form that allows the Company to retain a copy of the decision.
                  </paratext>
                </para>
                <para>
                  <paratext>Email is often considered too unreliable for notices under an agreement as it involves the following risks:</paratext>
                </para>
                <para>
                  <paratext>Interception by a third party.</paratext>
                </para>
                <para>
                  <paratext>The email arriving late or not at all.</paratext>
                </para>
                <para>
                  <paratext>The email arriving but being unintelligible, or containing changed formatting which may have altered the meaning.</paratext>
                </para>
                <para>
                  <paratext>If a party is to give notice by email, it will need to satisfy itself that the notice has been received by the intended addressee. It could do this by using a delivery receipt on the email, or by a deemed receipt provision, but there is still no guarantee against interception by a third party or that the email has actually been seen in its intended form by the intended recipient.</paratext>
                </para>
                <para>
                  <paratext>
                    If service of notice by email is contemplated in a wider category of cases than those envisaged by this document, amend the definition of "writing" or "written" in 
                    <internal.reference refid="a583105">clause 1.18</internal.reference>
                     to reflect what is agreed between the parties. As this document provides for any notice to be in writing, any notice by email provision should specifically state that, for the purposes of the notice clause only, "writing" should include email.
                  </paratext>
                </para>
                <division id="a722260" level="2">
                  <head align="left" preservecase="true">
                    <headtext>Negotiation and drafting issues</headtext>
                  </head>
                  <list type="bulleted">
                    <list.item>
                      <para>
                        <paratext>As the notice provisions in an agreement are interpreted strictly, it is important to ensure that they are sufficiently detailed and address all relevant circumstances.</paratext>
                      </para>
                    </list.item>
                    <list.item>
                      <para>
                        <paratext>Consider whether signature of a notice should be mandatory.</paratext>
                      </para>
                    </list.item>
                    <list.item>
                      <para>
                        <paratext>
                          Ensure that the clause includes a mechanism for the parties to make changes to their service details (see 
                          <internal.reference refid="a667285">clause 25.4</internal.reference>
                          ). Usually, there should be a time period before any notified changes to the service details take effect to avoid a situation whereby notices sent to the correct address at the time of sending are invalid because of a subsequent change of address.
                        </paratext>
                      </para>
                    </list.item>
                    <list.item>
                      <para>
                        <paratext>Consider whether the notices provisions should be obligatory (as in this agreement) or permissive (that is, "the notice may be served..."). A large organisation may not want a permissive clause. It is likely to want a notice to be served on a specific person with knowledge of the transaction and will not want to be taken to have received an important notice because it was served on the organisation as a whole. It is important to be certain that those people in the organisation who can react to the notice are sure of seeing it.</paratext>
                      </para>
                    </list.item>
                    <list.item>
                      <para>
                        <paratext>
                          If the notices provision is mandatory, it is important to be clear throughout the agreement about what is a notice to which the method of service prescribed in 
                          <internal.reference refid="a157769">clause 25</internal.reference>
                           will apply, and what is a more general communication that does not need to be served in this way. If the parties intend to exclude general communications from the scope of this clause, omit 
                          <internal.reference refid="a943371">clause 25.1</internal.reference>
                           and do not refer to any general communications that are intended to be outside this clause as "notices".
                        </paratext>
                      </para>
                    </list.item>
                    <list.item>
                      <para>
                        <paratext>
                          If all the parties are resident in the UK, consider omitting the references to service by airmail or international courier in 
                          <internal.reference refid="a157769">clause 25</internal.reference>
                          .
                        </paratext>
                      </para>
                    </list.item>
                    <list.item>
                      <para>
                        <paratext>
                          If any party is resident outside the UK and its address for service of notices is not within the UK, consider whether that party should be required to appoint an agent for service in the UK. For an example clause appointing an agent for service, see 
                          <link href="9-522-6848" style="ACTLinkPLCtoPLC">
                            <ital>Standard clause, Jurisdiction</ital>
                          </link>
                          .
                        </paratext>
                      </para>
                    </list.item>
                  </list>
                  <para>
                    <paratext>For further information in relation to notices generally, see:</paratext>
                  </para>
                  <list type="bulleted">
                    <list.item>
                      <para>
                        <paratext>
                          <link href="3-107-3843" style="ACTLinkPLCtoPLC">
                            <ital>Practice note, Notice clauses</ital>
                          </link>
                          .
                        </paratext>
                      </para>
                    </list.item>
                    <list.item>
                      <para>
                        <paratext>
                          <link href="5-107-3842" style="ACTLinkPLCtoPLC">
                            <ital>Standard clause, Notices</ital>
                          </link>
                           and the related drafting notes.
                        </paratext>
                      </para>
                    </list.item>
                  </list>
                </division>
              </division>
            </drafting.note>
            <subclause1 condition="optional" id="a943371">
              <identifier>25.1</identifier>
              <para>
                <paratext>
                  For the purposes of this clause, but subject to 
                  <internal.reference refid="a472255">clause 25.7</internal.reference>
                  , notice includes any other communication.
                </paratext>
              </para>
              <drafting.note id="a741692" jurisdiction="">
                <head align="left" preservecase="true">
                  <headtext>Scope of notices clause</headtext>
                </head>
                <division id="a000034" level="1">
                  <para>
                    <paratext>The parties should consider the intended scope of the notices provision. For instance, do they want these provisions to apply to formal notices under the agreement only, or should they capture all communications between the parties in relation to the agreement?</paratext>
                  </para>
                  <para>
                    <paratext>Omit this provision if the parties intend to exclude general communications from the scope of this clause. Also ensure that the agreement does not refer to any general communications that are intended to be outside this clause as "notices".</paratext>
                  </para>
                  <para>
                    <paratext>
                      <bold>Service of legal proceedings</bold>
                    </paratext>
                  </para>
                  <para>
                    <paratext>
                      If the service of legal proceedings has contractual relevance under the terms of the investment agreement, consider whether the notices clause should also apply to the service of such proceedings. If the notices provision is expressed as applying to all "communications", then in the absence of express words to the contrary (such as those in 
                      <internal.reference refid="a472255">clause 25.7</internal.reference>
                      ), it is possible that it will be construed widely to include the service of legal proceedings relating to the agreement (see obiter comments of Green J in 
                      <link href="https://uk.practicallaw.thomsonreuters.com/D-023-4278?originationContext=document&amp;amp;transitionType=PLDocumentLink&amp;amp;contextData=%28sc.Default%29" style="ACTLinkURL">
                        <ital>Ageas (UK) Ltd v Kwik-Fit (GB) Ltd [2013] EWHC 3261 (QB)</ital>
                      </link>
                      ).
                    </paratext>
                  </para>
                </division>
              </drafting.note>
            </subclause1>
            <subclause1 id="a285049">
              <identifier>25.2</identifier>
              <para>
                <paratext>A notice given to a party under or in connection with this agreement:</paratext>
              </para>
              <subclause2 id="a954590">
                <identifier>(a)</identifier>
                <para>
                  <paratext>shall be in writing [and in English [(or be accompanied by an accurate translation into English)]];</paratext>
                </para>
                <drafting.note id="a512846" jurisdiction="">
                  <head align="left" preservecase="true">
                    <headtext>English language</headtext>
                  </head>
                  <division id="a000035" level="1">
                    <para>
                      <paratext>If clause 29.2 is included, omit the words in square brackets.</paratext>
                    </para>
                  </division>
                </drafting.note>
              </subclause2>
              <subclause2 id="a822010">
                <identifier>(b)</identifier>
                <para>
                  <paratext>shall be signed by or behalf of the party giving it;</paratext>
                </para>
              </subclause2>
              <subclause2 id="a891012">
                <identifier>(c)</identifier>
                <para>
                  <paratext>
                    shall be sent to the relevant party for the attention of the contact and to the address [or fax number] specified in 
                    <internal.reference refid="a701443">clause 25.3</internal.reference>
                    , or such other address[, fax number] or contact as that party may notify to the other in accordance with the provisions of this 
                    <internal.reference refid="a811689">clause 25</internal.reference>
                    ;
                  </paratext>
                </para>
              </subclause2>
              <subclause2 id="a616193">
                <identifier>(d)</identifier>
                <para>
                  <paratext>shall be:</paratext>
                </para>
                <subclause3 id="a352029">
                  <identifier>(i)</identifier>
                  <para>
                    <paratext>delivered by hand; [or]</paratext>
                  </para>
                </subclause3>
                <subclause3 condition="optional" id="a828901">
                  <identifier>(ii)</identifier>
                  <para>
                    <paratext>sent by fax;[ or]</paratext>
                  </para>
                </subclause3>
                <subclause3 id="a761136">
                  <identifier>(iii)</identifier>
                  <para>
                    <paratext>
                      sent by pre-paid first class post or another next day working day delivery service [providing proof of [postage 
                      <bold>OR</bold>
                       delivery]]; [or]
                    </paratext>
                  </para>
                </subclause3>
                <subclause3 condition="optional" id="a169776">
                  <identifier>(iv)</identifier>
                  <para>
                    <paratext>sent by airmail or by reputable international overnight courier (if the notice is to be served by post to an address outside the country from which it is sent; [or]</paratext>
                  </para>
                </subclause3>
                <subclause3 condition="optional" id="a894525">
                  <identifier>(v)</identifier>
                  <para>
                    <paratext>sent by email to an email address notified by the relevant party to the other party for such purpose (save that this clause 25.3(d)(v) shall only apply in respect of a notice served or given under [any of] clause[s] 7.4[, 7.6] [INSERT OTHER CLAUSE NUMBERS IF RELEVANT].</paratext>
                  </para>
                </subclause3>
              </subclause2>
            </subclause1>
            <subclause1 id="a701443">
              <identifier>25.3</identifier>
              <para>
                <paratext>The addresses [and fax numbers] for service of notice are:</paratext>
              </para>
              <subclause2 id="a800136">
                <identifier>(a)</identifier>
                <para>
                  <paratext>Company</paratext>
                </para>
                <subclause3 id="a101804">
                  <identifier>(i)</identifier>
                  <para>
                    <paratext>address: the registered office</paratext>
                  </para>
                </subclause3>
                <subclause3 id="a417393">
                  <identifier>(ii)</identifier>
                  <para>
                    <paratext>for the attention of: [NAME]</paratext>
                  </para>
                </subclause3>
                <subclause3 condition="optional" id="a881748">
                  <identifier>(iii)</identifier>
                  <para>
                    <paratext>fax number: [NUMBER]</paratext>
                  </para>
                </subclause3>
              </subclause2>
              <subclause2 id="a310427">
                <identifier>(b)</identifier>
                <para>
                  <paratext>Investor</paratext>
                </para>
                <subclause3 id="a189697">
                  <identifier>(i)</identifier>
                  <para>
                    <paratext>address: to the address shown alongside its name in Schedule 1.</paratext>
                  </para>
                </subclause3>
                <subclause3 id="a227654">
                  <identifier>(ii)</identifier>
                  <para>
                    <paratext>for the attention of: [NAME]</paratext>
                  </para>
                </subclause3>
                <subclause3 condition="optional" id="a197258">
                  <identifier>(iii)</identifier>
                  <para>
                    <paratext>fax number: [NUMBER]</paratext>
                  </para>
                </subclause3>
              </subclause2>
              <subclause2 id="a747732">
                <identifier>(c)</identifier>
                <para>
                  <paratext>
                    In the case of the Founders, to the address [and fax number] set out alongside their respective names in 
                    <internal.reference refid="a114201">Schedule 1</internal.reference>
                    .
                  </paratext>
                </para>
              </subclause2>
            </subclause1>
            <subclause1 id="a667285">
              <identifier>25.4</identifier>
              <para>
                <paratext>
                  A party may change its details for service of notices as specified in 
                  <internal.reference refid="a701443">clause 25.3</internal.reference>
                   by giving notice in writing to the other parties[, provided that the address for service is an address in the United Kingdom following any change]. Any change notified pursuant to this clause 25.4 shall take effect at 9.00 am on the later of:
                </paratext>
              </para>
              <subclause2 id="a991757">
                <identifier>(a)</identifier>
                <para>
                  <paratext>the date (if any) specified in the notice as the effective date for the change; and</paratext>
                </para>
              </subclause2>
              <subclause2 id="a495742">
                <identifier>(b)</identifier>
                <para>
                  <paratext>[five] Business Days after deemed receipt of the notice of change.</paratext>
                </para>
              </subclause2>
            </subclause1>
            <subclause1 id="a723098">
              <identifier>25.5</identifier>
              <para>
                <paratext>Delivery of a notice is deemed to have taken effect (provided that all other requirements in this clause have been satisfied):</paratext>
              </para>
              <subclause2 id="a357328">
                <identifier>(a)</identifier>
                <para>
                  <paratext>if delivered by hand, on signature of a delivery receipt [or at the time the notice is left at the address]; [or]</paratext>
                </para>
              </subclause2>
              <subclause2 condition="optional" id="a510529">
                <identifier>(b)</identifier>
                <para>
                  <paratext>if sent by fax, at the time of transmission; [or]</paratext>
                </para>
              </subclause2>
              <subclause2 id="a915902">
                <identifier>(c)</identifier>
                <para>
                  <paratext>
                    if sent by pre-paid first-class post or another next day working day delivery service [providing proof of [postage 
                    <bold>OR</bold>
                     delivery]] to an address in the United Kingdom, at 9.00 am on the [second] Business Day after posting [or at the time recorded by the delivery service]; [or]
                  </paratext>
                </para>
              </subclause2>
              <subclause2 condition="optional" id="a829264">
                <identifier>(d)</identifier>
                <para>
                  <paratext>if sent by pre-paid airmail to an address outside the country from which it is sent, at 9.00 am on the [fifth] Business Day after posting; [or]</paratext>
                </para>
              </subclause2>
              <subclause2 condition="optional" id="a735087">
                <identifier>(e)</identifier>
                <para>
                  <paratext>if sent by reputable international overnight courier to an address outside the country from which it is sent, on signature of a delivery receipt [or at the time the notice is left at the address]; [or]</paratext>
                </para>
              </subclause2>
              <subclause2 id="a465849">
                <identifier>(f)</identifier>
                <para>
                  <paratext>if sent by email, at the time of transmission.; and</paratext>
                </para>
              </subclause2>
              <subclause2 id="a353886">
                <identifier>(g)</identifier>
                <para>
                  <paratext>
                    if deemed receipt under the previous paragraphs of this 
                    <internal.reference refid="a723098">clause 25.5</internal.reference>
                     would occur outside business hours (meaning 9.00 am to 5.30 pm Monday to Friday on a day that is not a public holiday in the place of deemed receipt), at 9.00 am on the day when business next starts in the place of deemed receipt. For the purposes of this clause 25.5, all references to time are to local time in the place of deemed receipt.
                  </paratext>
                </para>
                <drafting.note id="a958575" jurisdiction="">
                  <head align="left" preservecase="true">
                    <headtext>Deemed receipt</headtext>
                  </head>
                  <division id="a000036" level="1">
                    <para>
                      <paratext>Provisions for deemed receipt are common. They help the party serving a notice, by doing away with the need to prove that the notice arrived, or when it arrived. They just need evidence of when and how they sent it, making sure they used a method listed in the deemed service provisions.</paratext>
                    </para>
                    <para>
                      <paratext>The receiving party may be able to displace a deemed service date by evidence that the notice arrived on some other date, or did not arrive at all. You may wish to make this express, such as "unless proved otherwise". (This wording might also benefit a serving party who wanted to prove earlier delivery.) It would be unusual, but possible, to agree an irrebuttable deemed service date. When drafting deeming provisions, make them appropriate and realistic, especially for international service. A notice should not be deemed to arrive unrealistically early.</paratext>
                    </para>
                    <para>
                      <paratext>
                        For further information on the value and effect of deemed receipt provisions, see 
                        <link anchor="co_anchor_a107549" href="https://uk.practicallaw.thomsonreuters.com/3-107-3843?originationContext=document&amp;amp;transitionType=DocumentItem&amp;amp;contextData=%28sc.Default%29" style="ACTLinkURL">
                          <ital>Practice note, Notice clauses: Provisions deeming receipt</ital>
                        </link>
                        .
                      </paratext>
                    </para>
                  </division>
                </drafting.note>
              </subclause2>
            </subclause1>
            <subclause1 id="a845962">
              <identifier>25.6</identifier>
              <para>
                <paratext>To prove service, it is sufficient to prove that:</paratext>
              </para>
              <subclause2 id="a566672">
                <identifier>(a)</identifier>
                <para>
                  <paratext>if delivered by hand [or by reputable international overnight courier], the notice was delivered to the correct address; [or]</paratext>
                </para>
              </subclause2>
              <subclause2 condition="optional" id="a162893">
                <identifier>(b)</identifier>
                <para>
                  <paratext>if sent by fax, a transmission report was received confirming that the notice was successfully transmitted to the correct fax number; [or]</paratext>
                </para>
              </subclause2>
              <subclause2 id="a528821">
                <identifier>(c)</identifier>
                <para>
                  <paratext>if sent by post [or by airmail], the envelope containing the notice was properly addressed, paid for and posted; [or ]</paratext>
                </para>
              </subclause2>
              <subclause2 condition="optional" id="a872757">
                <identifier>(d)</identifier>
                <para>
                  <paratext>if sent by email, the notice was properly addressed and sent to the email address of the recipient.</paratext>
                </para>
              </subclause2>
            </subclause1>
            <subclause1 id="a472255">
              <identifier>25.7</identifier>
              <para>
                <paratext>
                  This 
                  <internal.reference refid="a811689">clause 25</internal.reference>
                   does not apply to the service of any proceedings or other documents in any legal action [or, where applicable, any arbitration or other method of dispute resolution].
                </paratext>
              </para>
              <drafting.note id="a687700" jurisdiction="">
                <head align="left" preservecase="true">
                  <headtext>Exclusion for service of legal proceedings</headtext>
                </head>
                <division id="a000037" level="1">
                  <para>
                    <paratext>
                      Include this provision if the parties do not want the methods of service and deemed service provisions set out in this clause to apply to the service of any legal proceedings relating to the agreement. In the absence of express words to the contrary, it is possible that a contractual notices provision will be construed widely to include the service of legal proceedings relating to the agreement (see 
                      <ital>obiter</ital>
                       comments of Green J in 
                      <link href="https://uk.practicallaw.thomsonreuters.com/D-023-4278?originationContext=document&amp;amp;transitionType=PLDocumentLink&amp;amp;contextData=%28sc.Default%29" style="ACTLinkURL">
                        <ital>Ageas (UK) Ltd v Kwik-Fit (GB) Ltd [2013] EWHC 3261 (QB)</ital>
                      </link>
                       and 
                      <link href="https://uk.practicallaw.thomsonreuters.com/D-025-6442?originationContext=document&amp;amp;transitionType=PLDocumentLink&amp;amp;contextData=%28sc.Default%29" style="ACTLinkURL">
                        <ital>T&amp;L Sugars Ltd v Tate &amp; Lyle Industries Ltd [2014] EWHC 1066</ital>
                      </link>
                      ).
                    </paratext>
                  </para>
                  <para>
                    <paratext>If the timing of service of any legal proceedings will be of relevance under the terms of the agreement, to avoid any uncertainty in determining whether such proceedings have been served in time for the purposes of the agreement, it would be advisable to expressly specify how such service can be effected and the rules for determining when service of legal proceedings is deemed to occur.</paratext>
                  </para>
                  <para>
                    <paratext>
                      For further information on the 
                      <ital>Ageas</ital>
                       and 
                      <ital>T&amp;L Sugars</ital>
                       decisions, see 
                      <link href="https://uk.practicallaw.thomsonreuters.com/3-547-2007?originationContext=document&amp;amp;transitionType=DocumentItem&amp;amp;contextData=%28sc.Default%29" style="ACTLinkURL">
                        <ital>Legal updates, Warranty claims: construction of time-bar clause and meaning of service of legal proceedings (High Court)</ital>
                      </link>
                       and 
                      <link href="https://uk.practicallaw.thomsonreuters.com/2-564-8125?originationContext=document&amp;amp;transitionType=DocumentItem&amp;amp;contextData=%28sc.Default%29" style="ACTLinkURL">
                        <ital>Commercial Court considers meaning of "issued and served" in contract</ital>
                      </link>
                      .
                    </paratext>
                  </para>
                  <para>
                    <paratext>
                      For general information about service of proceedings, see 
                      <link href="https://uk.practicallaw.thomsonreuters.com/3-382-5813?originationContext=document&amp;amp;transitionType=DocumentItem&amp;amp;contextData=%28sc.Default%29" style="ACTLinkURL">
                        <ital>Practice note, Service of the claim form and other documents: an overview</ital>
                      </link>
                      .
                    </paratext>
                  </para>
                </division>
              </drafting.note>
            </subclause1>
            <subclause1 condition="optional" id="a291007">
              <identifier>25.8</identifier>
              <para>
                <paratext>A notice given under or in connection with this agreement is not valid if sent by email.</paratext>
              </para>
              <drafting.note id="a201982" jurisdiction="">
                <head align="left" preservecase="true">
                  <headtext>Service of notices by email</headtext>
                </head>
                <division id="a000038" level="1">
                  <para>
                    <paratext>Omit clause 25.8 if the optional provisions in this clause 25 that would permit service of notices by email are included.</paratext>
                  </para>
                </division>
              </drafting.note>
            </subclause1>
          </clause>
          <clause id="a946814">
            <identifier>26.</identifier>
            <head align="left" preservecase="true">
              <headtext>Further assurance</headtext>
            </head>
            <drafting.note id="a530712" jurisdiction="">
              <head align="left" preservecase="true">
                <headtext>Further assurance</headtext>
              </head>
              <division id="a000039" level="1">
                <para>
                  <paratext>
                    See 
                    <link href="9-107-3816" style="ACTLinkPLCtoPLC">
                      <ital>Standard clause, Further assurance</ital>
                    </link>
                    .
                  </paratext>
                </para>
              </division>
            </drafting.note>
            <subclause1 id="a749753">
              <para>
                <paratext>
                  Without prejudice to 
                  <internal.reference refid="a308748">clause 3</internal.reference>
                  , [at its own expense] each party shall, and shall use all reasonable endeavours to procure that any necessary third party shall, [promptly] execute and deliver such documents and perform such acts as may [reasonably] be required for the purpose of giving full effect to this agreement.
                </paratext>
              </para>
            </subclause1>
          </clause>
          <clause id="a406064">
            <identifier>27.</identifier>
            <head align="left" preservecase="true">
              <headtext>Counterparts</headtext>
            </head>
            <drafting.note id="a880452" jurisdiction="">
              <head align="left" preservecase="true">
                <headtext>Counterparts</headtext>
              </head>
              <division id="a000040" level="1">
                <para>
                  <paratext>
                    See 
                    <link href="1-107-3844" style="ACTLinkPLCtoPLC">
                      <ital>Standard clause, Counterparts</ital>
                    </link>
                    .
                  </paratext>
                </para>
              </division>
            </drafting.note>
            <subclause1 id="a744649">
              <identifier>27.1</identifier>
              <para>
                <paratext>This agreement may be executed in any number of counterparts, each of which when executed [and delivered] shall constitute a duplicate original, but all the counterparts shall together constitute the one agreement.</paratext>
              </para>
            </subclause1>
            <subclause1 condition="optional" id="a428332">
              <identifier>27.2</identifier>
              <para>
                <paratext>Transmission of [an executed counterpart of this agreement (but for the avoidance of doubt not just a signature page) OR the executed signature page of a counterpart of this agreement] by (a) fax or (b) email (in PDF, JPEG or other agreed format),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paratext>
              </para>
            </subclause1>
            <subclause1 id="a181388">
              <identifier>27.3</identifier>
              <para>
                <paratext>No counterpart shall be effective until each party has executed [and delivered] at least one counterpart.</paratext>
              </para>
            </subclause1>
          </clause>
          <clause id="a171394">
            <identifier>28.</identifier>
            <head align="left" preservecase="true">
              <headtext>No partnership</headtext>
            </head>
            <drafting.note id="a601261" jurisdiction="">
              <head align="left" preservecase="true">
                <headtext>No partnership</headtext>
              </head>
              <division id="a000041" level="1">
                <para>
                  <paratext>
                    See 
                    <link href="4-107-3814" style="ACTLinkPLCtoPLC">
                      <ital>Standard clause, No partnership or agency</ital>
                    </link>
                    .
                  </paratext>
                </para>
              </division>
            </drafting.note>
            <subclause1 id="a461418">
              <identifier>28.1</identifier>
              <para>
                <paratext>Nothing in this agreement is intended to, or shall be deemed to, establish any partnership or joint venture between any of the parties, constitute any party the agent of another party, or authorise any party to make or enter into any commitments for or on behalf of any other party.</paratext>
              </para>
            </subclause1>
            <subclause1 id="a594605">
              <identifier>28.2</identifier>
              <para>
                <paratext>Each party confirms it is acting on its own behalf and not for the benefit of any other person.</paratext>
              </para>
            </subclause1>
          </clause>
          <clause condition="optional" id="a351057">
            <identifier>29.</identifier>
            <head align="left" preservecase="true">
              <headtext>Language</headtext>
            </head>
            <drafting.note id="a993959" jurisdiction="">
              <head align="left" preservecase="true">
                <headtext>Language</headtext>
              </head>
              <division id="a000042" level="1">
                <para>
                  <paratext>A language clause should be used if the agreement will be prepared in more than one language, or is likely to be translated into several languages. This avoids doubt about which version is to prevail if the agreement is the subject of litigation or arbitration proceedings. However, it should be noted that in some countries the local language is specified by law as the prevailing language for agreements subject to the law of that country. Local advice should therefore be taken where appropriate.</paratext>
                </para>
                <para>
                  <paratext>If clause 29.2 is omitted, include the optional words in square brackets in clause 25.2(a).</paratext>
                </para>
                <para>
                  <paratext>
                    For more information, see 
                    <link href="8-107-3812" style="ACTLinkPLCtoPLC">
                      <ital>Standard clause, Language</ital>
                    </link>
                    <ital> </ital>
                    and the related drafting notes.
                  </paratext>
                </para>
              </division>
            </drafting.note>
            <subclause1 id="a617763">
              <identifier>29.1</identifier>
              <para>
                <paratext>This agreement is drafted in the English language.</paratext>
              </para>
            </subclause1>
            <subclause1 condition="optional" id="a962832">
              <identifier>29.2</identifier>
              <para>
                <paratext>Any notice given under or in connection with this agreement shall be in English. All other documents provided under or in connection with this agreement shall be in English, or accompanied by a certified English translation.</paratext>
              </para>
            </subclause1>
            <subclause1 id="a117104">
              <identifier>29.3</identifier>
              <para>
                <paratext>The English language version of this agreement [and any notice or other document relating to this agreement] shall prevail if there is a conflict [except where the document is a constitutional, statutory or other official document].</paratext>
              </para>
            </subclause1>
          </clause>
          <clause id="a198911">
            <identifier>30.</identifier>
            <head align="left" preservecase="true">
              <headtext>Inadequacy of damages</headtext>
            </head>
            <drafting.note id="a633684" jurisdiction="">
              <head align="left" preservecase="true">
                <headtext>Inadequacy of damages</headtext>
              </head>
              <division id="a000043" level="1">
                <para>
                  <paratext>In relation to the founder covenants and the confidentiality obligations under the investment agreement, the investor will usually be more concerned to ensure that the company and the founders actually comply with the obligations, rather than simply being liable for damages on default. An investor may therefore, for example, prefer to prevent a disclosure of confidential information by another party by means of an injunction, rather than relying on damages for breach of the agreement after the event.</paratext>
                </para>
                <para>
                  <paratext>In clause 30, the founders acknowledge and agrees that damages would not be an adequate remedy for their breach of the founder covenants and every party so agrees in respect of the confidentiality undertakings in the agreement. This aims to persuade a court to exercise its discretion in favour of the other parties by granting an injunction, ordering specific performance or other equitable relief.</paratext>
                </para>
                <para>
                  <paratext>The agreement also includes optional wording that would extend the ability to seek a remedy other than damages to any claim under the agreement (excluding a claim for breach of warranty, if the first set of words in square brackets is included). This alternative is likely to be attractive to an investor.</paratext>
                </para>
                <para>
                  <paratext>Both injunctions and orders for specific performance are forms of equitable relief and as such are discretionary. For more information on such remedies and the practical benefit and limitations of a clause of this type, see:</paratext>
                </para>
                <list type="bulleted">
                  <list.item>
                    <para>
                      <paratext>
                        <link href="https://uk.practicallaw.thomsonreuters.com/3-107-4866?originationContext=document&amp;amp;transitionType=DocumentItem&amp;amp;contextData=%28sc.Default%29" style="ACTLinkURL">
                          <ital>Practice note, Remedies: equitable remedies</ital>
                        </link>
                        .
                      </paratext>
                    </para>
                  </list.item>
                  <list.item>
                    <para>
                      <paratext>
                        <link href="https://uk.practicallaw.thomsonreuters.com/5-107-3804?originationContext=document&amp;amp;transitionType=DocumentItem&amp;amp;contextData=%28sc.Default%29" style="ACTLinkURL">
                          <ital>Standard clause, Inadequacy of damages</ital>
                        </link>
                         and the related drafting notes.
                      </paratext>
                    </para>
                  </list.item>
                </list>
                <para>
                  <paratext>In the event that this situation occurs, it is likely that the relationship between the investor and the company and/or one or more founders will have broken down.</paratext>
                </para>
                <para>
                  <paratext>
                    In relation to its application to the restrictive covenants of clause 15.1, see the last paragraph to 
                    <internal.reference refid="a721307">Drafting note, Founder covenants</internal.reference>
                    .
                  </paratext>
                </para>
              </division>
            </drafting.note>
            <subclause1 id="a205664">
              <identifier>30.1</identifier>
              <para>
                <paratext>
                  Without prejudice to any other rights or remedies that a party may have, each party acknowledges and agrees that [other than in respect of a Claim,] damages alone would not be an adequate remedy for any breach of the terms of [this agreement 
                  <bold>OR</bold>
                   clause 15 or clause 16] by that party. Accordingly, the other parties shall be entitled to seek the remedies of injunction, specific performance or other equitable relief for any threatened or actual breach of the terms of [clause 15 or clause 16 of] this agreement.
                </paratext>
              </para>
            </subclause1>
          </clause>
          <clause id="a436125">
            <identifier>31.</identifier>
            <head align="left" preservecase="true">
              <headtext>Governing law and jurisdiction</headtext>
            </head>
            <drafting.note id="a999635" jurisdiction="">
              <head align="left" preservecase="true">
                <headtext>Governing law and jurisdiction</headtext>
              </head>
              <division id="a000044" level="1">
                <para>
                  <paratext>
                    For information on issues relating to choice of law, see 
                    <link href="4-107-3852" style="ACTLinkPLCtoPLC">
                      <ital>Practice note, Governing law and jurisdiction clauses</ital>
                    </link>
                    .
                  </paratext>
                </para>
              </division>
            </drafting.note>
            <subclause1 id="a126049">
              <identifier>31.1</identifier>
              <para>
                <paratext>This agreement and any dispute or claim (including non-contractual disputes or claims) arising out of or in connection with its subject matter or formation shall be governed by and construed in accordance with the law of England and Wales.</paratext>
              </para>
              <drafting.note id="a703925" jurisdiction="">
                <head align="left" preservecase="true">
                  <headtext>Governing law</headtext>
                </head>
                <division id="a000045" level="1">
                  <para>
                    <paratext>A governing law clause should be included where the parties want all disputes arising under the agreement to be determined in accordance with the substantive laws of a particular country.  A governing law clause simply determines the substantive law that will be applied to determine the rights and obligations of the parties and any disputes that may arise, but it does not indicate how disputes are to be resolved. It is therefore important to also include a dispute resolution clause (for example, an agreement to submit disputes to the English courts, or an arbitration agreement) that expressly identifies the mechanism for resolving disputes. The choice of governing law should be considered before beginning to draft the agreement since, if it is not to be English law, a lawyer qualified in the relevant jurisdiction will need to advise on, or draft, the agreement.</paratext>
                  </para>
                  <para>
                    <paratext>
                      For drafting guidance on this clause, see 
                      <link href="8-107-3850" style="ACTLinkPLCtoPLC">
                        <ital>Standard clause, Governing law</ital>
                      </link>
                      .
                    </paratext>
                  </para>
                  <para>
                    <paratext>For further consideration on choice of law, see Practice notes:</paratext>
                  </para>
                  <list type="bulleted">
                    <list.item>
                      <para>
                        <paratext>
                          <link href="4-107-3852" style="ACTLinkPLCtoPLC">
                            <ital>Governing law and jurisdiction clauses</ital>
                          </link>
                          ,
                        </paratext>
                      </para>
                    </list.item>
                    <list.item>
                      <para>
                        <paratext>
                          <link href="8-381-3544" style="ACTLinkPLCtoPLC">
                            <ital>Is your governing law clause effective?</ital>
                          </link>
                          .
                        </paratext>
                      </para>
                    </list.item>
                    <list.item>
                      <para>
                        <paratext>
                          <link href="4-509-3638" style="ACTLinkPLCtoPLC">
                            <ital>Rome Convention: an outline of the key provisions</ital>
                          </link>
                          .
                        </paratext>
                      </para>
                    </list.item>
                    <list.item>
                      <para>
                        <paratext>
                          <link href="7-501-0335" style="ACTLinkPLCtoPLC">
                            <ital>Rome I: an outline of the key provisions</ital>
                          </link>
                          .
                        </paratext>
                      </para>
                    </list.item>
                    <list.item>
                      <para>
                        <paratext>
                          <link href="6-382-5703" style="ACTLinkPLCtoPLC">
                            <ital>Rome II: an outline of the key provisions</ital>
                          </link>
                          .
                        </paratext>
                      </para>
                    </list.item>
                  </list>
                </division>
              </drafting.note>
            </subclause1>
            <subclause1 id="a640638">
              <identifier>31.2</identifier>
              <para>
                <paratext>
                  Each party irrevocably agrees that the courts of England and Wales shall have [exclusive 
                  <bold>OR</bold>
                   non-exclusive] jurisdiction to settle any dispute or claim (including non-contractual disputes or claims) that arises out of or in connection with this agreement or its subject matter or formation.
                </paratext>
              </para>
              <drafting.note id="a742867" jurisdiction="">
                <head align="left" preservecase="true">
                  <headtext>Jurisdiction</headtext>
                </head>
                <division id="a000046" level="1">
                  <para>
                    <paratext>A jurisdiction clause should be included where the parties want disputes arising under their agreement to be determined by the courts of a particular country.</paratext>
                  </para>
                  <para>
                    <paratext>A jurisdiction clause is different from a governing law clause as it relates to the place where a dispute will be heard and not to the law which will be applied to the issues in dispute. A governing law clause simply determines the substantive law that will be applied to determine the rights and obligations of the parties and any disputes that may arise, but it does not confirm how disputes are to be resolved. It is therefore important to include both a governing law and dispute resolution provision in the agreement.</paratext>
                  </para>
                  <para>
                    <paratext>
                      For drafting guidance on this clause, see the drafting notes to 
                      <link href="9-522-6848" style="ACTLinkPLCtoPLC">
                        <ital>Standard clause, Jurisdiction</ital>
                      </link>
                      .
                    </paratext>
                  </para>
                  <para>
                    <paratext>For further information on issues relating to jurisdiction clauses, see Practice notes:</paratext>
                  </para>
                  <list type="bulleted">
                    <list.item>
                      <para>
                        <paratext>
                          <link href="3-502-0888" style="ACTLinkPLCtoPLC">
                            <ital>Jurisdiction: an overview</ital>
                          </link>
                          .
                        </paratext>
                      </para>
                    </list.item>
                    <list.item>
                      <para>
                        <paratext>
                          <link href="4-107-3852#a489703" style="ACTLinkPLCtoPLC">
                            <ital>Governing law and jurisdiction clauses: Why include a jurisdiction clause?</ital>
                          </link>
                          .
                        </paratext>
                      </para>
                    </list.item>
                  </list>
                  <division id="a954172" level="2">
                    <head align="left" preservecase="true">
                      <headtext>Negotiation and drafting issues</headtext>
                    </head>
                    <list type="bulleted">
                      <list.item>
                        <para>
                          <paratext>This clause is drafted on the assumption that the parties want any disputes under the agreement to be determined by the courts of England and Wales.</paratext>
                        </para>
                      </list.item>
                      <list.item>
                        <para>
                          <paratext>
                            A UK-based investor will normally want the certainty of being able to bring proceedings in the English courts. But consider whether the venue should be exclusive, or whether the buyer needs the flexibility to start proceedings in another country. For further consideration of the issues relating to whether the jurisdiction clause should apply on an exclusive or non-exclusive basis, see clause 1.1 of 
                            <link href="9-522-6848" style="ACTLinkPLCtoPLC">
                              <ital>Standard clause, Jurisdiction</ital>
                            </link>
                             and the related drafting notes.
                          </paratext>
                        </para>
                      </list.item>
                      <list.item>
                        <para>
                          <paratext>
                            It may be appropriate for the parties to consider alternative dispute resolution mechanisms, such as arbitration. For further information, see 
                            <link href="9-384-8595" style="ACTLinkPLCtoPLC">
                              <ital>Practice note, Hybrid, multi-tiered and carve-out dispute resolution clauses</ital>
                            </link>
                            .
                          </paratext>
                        </para>
                      </list.item>
                      <list.item>
                        <para>
                          <paratext>Ensure the clause is drafted sufficiently widely to cover all relevant disputes. The words "any dispute or claim" are intended to cover all disputes between the parties without narrowing the range by naming them specifically. The phrase "arising out of or in connection with" this agreement is used because it is arguably wider than alternative formulations such as "arising out of or related to this agreement" or "related directly and/or indirectly to the performance of this agreement". This should reduce the scope for parties to bring proceedings other than in the chosen court, thereby reducing the costs and delay involved in jurisdiction.</paratext>
                        </para>
                      </list.item>
                    </list>
                  </division>
                </division>
              </drafting.note>
            </subclause1>
          </clause>
        </operative>
        <testimonium default="true" wording="contract">
          <para>
            <paratext>This agreement has been entered into on the date stated at the beginning of it.</paratext>
          </para>
        </testimonium>
        <disclosure.schedule>
          <schedule id="a114201">
            <identifier>Schedule 1</identifier>
            <head align="left" preservecase="true">
              <headtext>The Founders</headtext>
            </head>
            <part id="a535130">
              <identifier>Part 1</identifier>
              <head align="left" preservecase="true">
                <headtext>The Investor[s]</headtext>
              </head>
              <clause id="a000047">
                <para>
                  <paratext>
                    <table frame="none" pgwide="1">
                      <tgroup cols="2">
                        <colspec colname="1" colnum="1" colwidth="50"/>
                        <colspec colname="2" colnum="2" colwidth="50"/>
                        <tbody>
                          <row>
                            <entry valign="top">
                              <para align="left">
                                <paratext>Name and address of Investor</paratext>
                              </para>
                            </entry>
                            <entry valign="top">
                              <para align="left">
                                <paratext>Number of [CLASS] shares</paratext>
                              </para>
                            </entry>
                          </row>
                          <row>
                            <entry valign="top">
                              <para>
                                <paratext space="default"> </paratext>
                              </para>
                            </entry>
                            <entry valign="top">
                              <para>
                                <paratext space="default"> </paratext>
                              </para>
                            </entry>
                          </row>
                          <row>
                            <entry valign="top">
                              <para>
                                <paratext space="default"> </paratext>
                              </para>
                            </entry>
                            <entry valign="top">
                              <para>
                                <paratext space="default"> </paratext>
                              </para>
                            </entry>
                          </row>
                        </tbody>
                      </tgroup>
                    </table>
                  </paratext>
                </para>
              </clause>
            </part>
            <part id="a354499">
              <identifier>Part 2</identifier>
              <head align="left" preservecase="true">
                <headtext>The Founders</headtext>
              </head>
              <clause id="a000048">
                <para>
                  <paratext>
                    <table frame="none" pgwide="1">
                      <tgroup cols="2">
                        <colspec colname="1" colnum="1" colwidth="50"/>
                        <colspec colname="2" colnum="2" colwidth="50"/>
                        <tbody>
                          <row>
                            <entry valign="top">
                              <para align="left">
                                <paratext>Name and address of Founder</paratext>
                              </para>
                            </entry>
                            <entry valign="top">
                              <para align="left">
                                <paratext>Number of [CLASS] shares</paratext>
                              </para>
                            </entry>
                          </row>
                          <row>
                            <entry valign="top">
                              <para>
                                <paratext space="default"> </paratext>
                              </para>
                            </entry>
                            <entry valign="top">
                              <para>
                                <paratext space="default"> </paratext>
                              </para>
                            </entry>
                          </row>
                          <row>
                            <entry valign="top">
                              <para>
                                <paratext space="default"> </paratext>
                              </para>
                            </entry>
                            <entry valign="top">
                              <para>
                                <paratext space="default"> </paratext>
                              </para>
                            </entry>
                          </row>
                        </tbody>
                      </tgroup>
                    </table>
                  </paratext>
                </para>
              </clause>
            </part>
          </schedule>
          <schedule id="a452926">
            <identifier>Schedule 2</identifier>
            <head align="left" preservecase="true">
              <headtext>The Company</headtext>
            </head>
            <part id="a437669">
              <identifier>Part 1</identifier>
              <head align="left" preservecase="true">
                <headtext>Particulars of the Company</headtext>
              </head>
              <clause id="a000049">
                <para>
                  <paratext>
                    <table frame="none" pgwide="1">
                      <tgroup cols="2">
                        <colspec colname="1" colnum="1" colwidth="50"/>
                        <colspec colname="2" colnum="2" colwidth="50"/>
                        <tbody>
                          <row>
                            <entry valign="top">
                              <para align="left">
                                <paratext>Registered number:</paratext>
                              </para>
                            </entry>
                            <entry valign="top">
                              <para align="left">
                                <paratext>[NUMBER]</paratext>
                              </para>
                            </entry>
                          </row>
                          <row>
                            <entry valign="top">
                              <para align="left">
                                <paratext>Status:</paratext>
                              </para>
                            </entry>
                            <entry valign="top">
                              <para align="left">
                                <paratext>
                                  [Private limited company 
                                  <bold>OR</bold>
                                   Public limited company 
                                  <bold>OR</bold>
                                   Company limited by guarantee]
                                </paratext>
                              </para>
                            </entry>
                          </row>
                          <row>
                            <entry valign="top">
                              <para align="left">
                                <paratext>Registered office:</paratext>
                              </para>
                            </entry>
                            <entry valign="top">
                              <para align="left">
                                <paratext>[Address]</paratext>
                              </para>
                            </entry>
                          </row>
                          <row>
                            <entry valign="top">
                              <para align="left">
                                <paratext>Directors:</paratext>
                              </para>
                            </entry>
                            <entry valign="top">
                              <para align="left">
                                <paratext>[NAMES]</paratext>
                              </para>
                            </entry>
                          </row>
                          <row>
                            <entry valign="top">
                              <para align="left">
                                <paratext>[Secretary:]</paratext>
                              </para>
                            </entry>
                            <entry valign="top">
                              <para align="left">
                                <paratext>[NAME]</paratext>
                              </para>
                            </entry>
                          </row>
                          <row>
                            <entry valign="top">
                              <para align="left">
                                <paratext>Accounting reference date:</paratext>
                              </para>
                            </entry>
                            <entry valign="top">
                              <para align="left">
                                <paratext>[DATE]</paratext>
                              </para>
                            </entry>
                          </row>
                          <row>
                            <entry valign="top">
                              <para align="left">
                                <paratext>Loans:</paratext>
                              </para>
                            </entry>
                            <entry valign="top">
                              <para align="left">
                                <paratext>[DETAILS]</paratext>
                              </para>
                            </entry>
                          </row>
                          <row>
                            <entry valign="top">
                              <para align="left">
                                <paratext>Charges:</paratext>
                              </para>
                            </entry>
                            <entry valign="top">
                              <para align="left">
                                <paratext>[DETAILS]</paratext>
                              </para>
                            </entry>
                          </row>
                          <row>
                            <entry valign="top">
                              <para align="left">
                                <paratext>Bankers:</paratext>
                              </para>
                            </entry>
                            <entry valign="top">
                              <para align="left">
                                <paratext>[NAME]</paratext>
                              </para>
                            </entry>
                          </row>
                          <row>
                            <entry valign="top">
                              <para align="left">
                                <paratext>[Auditors:]</paratext>
                              </para>
                            </entry>
                            <entry valign="top">
                              <para align="left">
                                <paratext>[NAME]</paratext>
                              </para>
                            </entry>
                          </row>
                          <row>
                            <entry valign="top">
                              <para align="left">
                                <paratext>Issued share capital:</paratext>
                              </para>
                            </entry>
                            <entry valign="top">
                              <para align="left">
                                <paratext>[NUMBER] [CLASS] shares of £[AMOUNT] each.</paratext>
                              </para>
                            </entry>
                          </row>
                        </tbody>
                      </tgroup>
                    </table>
                  </paratext>
                </para>
              </clause>
            </part>
            <part condition="optional" id="a717441">
              <identifier>Part 2</identifier>
              <head align="left" preservecase="true">
                <headtext>Particulars of the [Subsidiary   OR Subsidiaries]</headtext>
              </head>
              <clause id="a000050">
                <para>
                  <paratext>
                    <table frame="none" pgwide="1">
                      <tgroup cols="2">
                        <colspec colname="1" colnum="1" colwidth="50"/>
                        <colspec colname="2" colnum="2" colwidth="50"/>
                        <tbody>
                          <row>
                            <entry valign="top">
                              <para align="left">
                                <paratext>Registered number:</paratext>
                              </para>
                            </entry>
                            <entry valign="top">
                              <para align="left">
                                <paratext>[NUMBER]</paratext>
                              </para>
                            </entry>
                          </row>
                          <row>
                            <entry valign="top">
                              <para align="left">
                                <paratext>Status:</paratext>
                              </para>
                            </entry>
                            <entry valign="top">
                              <para align="left">
                                <paratext>
                                  [Private limited company 
                                  <bold>OR</bold>
                                   Public limited company 
                                  <bold>OR</bold>
                                   Company limited by guarantee]
                                </paratext>
                              </para>
                            </entry>
                          </row>
                          <row>
                            <entry valign="top">
                              <para align="left">
                                <paratext>Registered office:</paratext>
                              </para>
                            </entry>
                            <entry valign="top">
                              <para align="left">
                                <paratext>[Address]</paratext>
                              </para>
                            </entry>
                          </row>
                          <row>
                            <entry valign="top">
                              <para align="left">
                                <paratext>Directors:</paratext>
                              </para>
                            </entry>
                            <entry valign="top">
                              <para align="left">
                                <paratext>[NAMES]</paratext>
                              </para>
                            </entry>
                          </row>
                          <row>
                            <entry valign="top">
                              <para align="left">
                                <paratext>[Secretary:]</paratext>
                              </para>
                            </entry>
                            <entry valign="top">
                              <para align="left">
                                <paratext>[NAME]</paratext>
                              </para>
                            </entry>
                          </row>
                          <row>
                            <entry valign="top">
                              <para align="left">
                                <paratext>Accounting reference date:</paratext>
                              </para>
                            </entry>
                            <entry valign="top">
                              <para align="left">
                                <paratext>[DATE]</paratext>
                              </para>
                            </entry>
                          </row>
                          <row>
                            <entry valign="top">
                              <para align="left">
                                <paratext>Loans:</paratext>
                              </para>
                            </entry>
                            <entry valign="top">
                              <para align="left">
                                <paratext>[DETAILS]</paratext>
                              </para>
                            </entry>
                          </row>
                          <row>
                            <entry valign="top">
                              <para align="left">
                                <paratext>Charges:</paratext>
                              </para>
                            </entry>
                            <entry valign="top">
                              <para align="left">
                                <paratext>[DETAILS]</paratext>
                              </para>
                            </entry>
                          </row>
                          <row>
                            <entry valign="top">
                              <para align="left">
                                <paratext>Bankers:</paratext>
                              </para>
                            </entry>
                            <entry valign="top">
                              <para align="left">
                                <paratext>[NAME]</paratext>
                              </para>
                            </entry>
                          </row>
                          <row>
                            <entry valign="top">
                              <para align="left">
                                <paratext>[Auditors:]</paratext>
                              </para>
                            </entry>
                            <entry valign="top">
                              <para align="left">
                                <paratext>[NAME]</paratext>
                              </para>
                            </entry>
                          </row>
                          <row>
                            <entry valign="top">
                              <para align="left">
                                <paratext>Issued share capital:</paratext>
                              </para>
                            </entry>
                            <entry valign="top">
                              <para align="left">
                                <paratext>[NUMBER] [CLASS] shares of £[AMOUNT] each.</paratext>
                              </para>
                            </entry>
                          </row>
                        </tbody>
                      </tgroup>
                    </table>
                  </paratext>
                </para>
              </clause>
            </part>
          </schedule>
          <schedule id="a539953">
            <identifier>Schedule 3</identifier>
            <head align="left" preservecase="true">
              <headtext>Conditions to completion</headtext>
            </head>
            <clause id="a906249">
              <identifier>1.</identifier>
              <para>
                <paratext>The passing of Board resolutions in the agreed form, at a duly convened Board meeting.</paratext>
              </para>
            </clause>
            <clause id="a645750">
              <identifier>2.</identifier>
              <para>
                <paratext>The passing of resolutions of the Shareholders to:</paratext>
              </para>
              <subclause1 id="a720469">
                <identifier>2.1</identifier>
                <para>
                  <paratext>adopt the Articles;</paratext>
                </para>
              </subclause1>
              <subclause1 id="a561044">
                <identifier>2.2</identifier>
                <para>
                  <paratext>re-designate certain shares in the capital of the Company [INSERT DETAILS];</paratext>
                </para>
              </subclause1>
              <subclause1 id="a745987">
                <identifier>2.3</identifier>
                <para>
                  <paratext>waive pre-emption rights in respect of the allotment and issue of the Subscription Shares; and</paratext>
                </para>
              </subclause1>
              <subclause1 id="a417034">
                <identifier>2.4</identifier>
                <para>
                  <paratext>grant the directors of the Company authority to allot the Subscription Shares; and</paratext>
                </para>
              </subclause1>
              <subclause1 id="a476875">
                <identifier>2.5</identifier>
                <para>
                  <paratext>[OTHERS].</paratext>
                </para>
              </subclause1>
            </clause>
            <clause id="a765879">
              <identifier>3.</identifier>
              <para>
                <paratext>Delivery to the Investor of the Business Plan, the Accounts [, and the Management Accounts].</paratext>
              </para>
            </clause>
            <clause id="a834513">
              <identifier>4.</identifier>
              <para>
                <paratext>Delivery to the Investor of a completed questionnaire from each of the Founders.</paratext>
              </para>
            </clause>
            <clause id="a757869">
              <identifier>5.</identifier>
              <para>
                <paratext>Delivery of a letter to the Investor from the Company's Solicitors, confirming that it has verified the identity of the Company and the Company's directors and shareholders for the purpose of the money laundering regulations.</paratext>
              </para>
            </clause>
            <clause condition="optional" id="a233825">
              <identifier>6.</identifier>
              <para>
                <paratext>Delivery to the Investor of the IP Assignment duly executed by all parties to it.</paratext>
              </para>
            </clause>
            <clause id="a104431">
              <identifier>7.</identifier>
              <para>
                <paratext>Delivery to the Investor of the Disclosure Letter.</paratext>
              </para>
            </clause>
            <clause id="a759280">
              <identifier>8.</identifier>
              <para>
                <paratext>[Delivery to the Company of the Relevant Change Letters.]</paratext>
              </para>
              <drafting.note id="a858103" jurisdiction="">
                <head align="left" preservecase="true">
                  <headtext>Delivery of Relevant Change Letters</headtext>
                </head>
                <division id="a000051" level="1">
                  <para>
                    <paratext>Part 21A of the Companies Act 2006 (CA 2006) requires all companies within scope (including all UK-incorporated private companies) to keep a register of individuals (PSCs) and certain legal entities (RLEs) with significant control over the company (PSC register). For general information on the PSC regime and its scope, see:</paratext>
                  </para>
                  <list type="bulleted">
                    <list.item>
                      <para>
                        <paratext>
                          <link href="2-624-6207" style="ACTLinkPLCtoPLC">
                            <ital>PSC register: who must keep a PSC register: flowchart</ital>
                          </link>
                          .
                        </paratext>
                      </para>
                    </list.item>
                    <list.item>
                      <para>
                        <paratext>
                          <link href="7-625-2125" style="ACTLinkPLCtoPLC">
                            <ital>Practice note, PSC register: completing the register</ital>
                          </link>
                          .
                        </paratext>
                      </para>
                    </list.item>
                    <list.item>
                      <para>
                        <paratext>
                          <link href="9-624-0527" style="ACTLinkPLCtoPLC">
                            <ital>Practice note, PSC register: identifying people with significant control</ital>
                          </link>
                          .
                        </paratext>
                      </para>
                    </list.item>
                  </list>
                  <para>
                    <paratext>Completion may result in an existing PSC or RLE ceasing to have that status, or may result in a change to that status (for example, as a result of dilution following the Investor's subscription). Section 790E(3) obliges a company to write to every PSC or RLE it has reasonable cause to believe is affected by a relevant change, unless that company has already been informed of that change (and, in the case of a PSC only, has been informed by or on behalf of that PSC) (section 790E(8), CA 2006).</paratext>
                  </para>
                  <para>
                    <paratext>To ensure that the company is holding the necessary confirmed information to enable its PSC register to be updated immediately following completion, the parties may want to include this confirmation as a completion deliverable.</paratext>
                  </para>
                </division>
              </drafting.note>
            </clause>
            <clause id="a852002">
              <identifier>9.</identifier>
              <para>
                <paratext>[OTHERS].</paratext>
              </para>
            </clause>
          </schedule>
          <schedule id="a948908">
            <identifier>Schedule 4</identifier>
            <head align="left" preservecase="true">
              <headtext>Reserved matters</headtext>
            </head>
            <part id="a200060">
              <identifier>Part 1</identifier>
              <head align="left" preservecase="true">
                <headtext>Matters requiring investor consent</headtext>
              </head>
              <clause id="a511717">
                <identifier>1.</identifier>
                <para>
                  <paratext>Subscribe or otherwise acquire, or dispose of, any shares in the capital of any other company.</paratext>
                </para>
              </clause>
              <clause id="a773845">
                <identifier>2.</identifier>
                <para>
                  <paratext>Acquire or dispose of the whole (or part) of the undertaking of any other person.</paratext>
                </para>
              </clause>
              <clause id="a838569">
                <identifier>3.</identifier>
                <para>
                  <paratext>Dispose of the whole (or [any significant] part) of the Company's undertaking.</paratext>
                </para>
              </clause>
              <clause id="a582036">
                <identifier>4.</identifier>
                <para>
                  <paratext>Merge the Company (or any part of its business) with any other person or propose to do so.</paratext>
                </para>
              </clause>
              <clause id="a854881">
                <identifier>5.</identifier>
                <para>
                  <paratext>Form, enter into, terminate or withdraw from any partnership, consortium, joint venture or any other incorporated association.</paratext>
                </para>
              </clause>
              <clause id="a202345">
                <identifier>6.</identifier>
                <para>
                  <paratext>Allow the Company to cease (or propose to cease) to carry on its business.</paratext>
                </para>
              </clause>
              <clause id="a920764">
                <identifier>7.</identifier>
                <para>
                  <paratext>Recommend, declare or pay any dividend, or make any distribution of a capital nature other than as required by the Articles.</paratext>
                </para>
              </clause>
              <clause id="a826786">
                <identifier>8.</identifier>
                <para>
                  <paratext>Capitalise any reserves, apply any amount for the time being standing to the credit of the share premium account or capital redemption reserve of the Company or reduce any uncalled liability in respect of partly paid shares in the capital of the Company for any purpose other than as set out in or required by the Articles.</paratext>
                </para>
              </clause>
              <clause id="a209114">
                <identifier>9.</identifier>
                <para>
                  <paratext>Incur any indebtedness or borrowings in excess of £[AMOUNT].</paratext>
                </para>
              </clause>
              <clause id="a663196">
                <identifier>10.</identifier>
                <para>
                  <paratext>Enter into any negotiations, or reach any agreement, concerning a Sale or Listing which values the Company at less than £[AMOUNT].</paratext>
                </para>
              </clause>
              <clause id="a926278">
                <identifier>11.</identifier>
                <para>
                  <paratext>[OTHERS].</paratext>
                </para>
              </clause>
            </part>
            <part id="a309518">
              <identifier>Part 2</identifier>
              <head align="left" preservecase="true">
                <headtext>Further matters requiring investor consent</headtext>
              </head>
              <clause id="a826888">
                <identifier>1.</identifier>
                <para>
                  <paratext>Amend or waive any provision of the Articles or the memorandum of association.</paratext>
                </para>
              </clause>
              <clause id="a718467">
                <identifier>2.</identifier>
                <para>
                  <paratext>Make any increase or reduction or alteration whatsoever (including by way of redemption, purchase, subdivision, consolidation, redenomination or redesignation) of the Company's share capital, other than pursuant to the [Share Option Plan or the] Articles.</paratext>
                </para>
              </clause>
              <clause id="a263592">
                <identifier>3.</identifier>
                <para>
                  <paratext>Grant any option, warrant or other right to subscribe or convert any securities into shares, or require the allotment or issue of any such shares or securities whether conditional or otherwise, other than pursuant to the [Share Option Plan or the] Articles.</paratext>
                </para>
              </clause>
              <clause id="a743976">
                <identifier>4.</identifier>
                <para>
                  <paratext>Sell, transfer or otherwise dispose of any shares for the time being held in treasury[, other than in accordance with the Articles].</paratext>
                </para>
              </clause>
              <clause id="a154651">
                <identifier>5.</identifier>
                <para>
                  <paratext>Vary the rights attaching to any class of Shares.</paratext>
                </para>
              </clause>
              <clause id="a939862">
                <identifier>6.</identifier>
                <para>
                  <paratext>Take any step to wind up the Company (except where it is insolvent (within the meaning of section 123 of the Insolvency Act 1986)).</paratext>
                </para>
              </clause>
              <clause id="a448209">
                <identifier>7.</identifier>
                <para>
                  <paratext>Take any step to place the Company into administration.</paratext>
                </para>
              </clause>
              <clause id="a897292">
                <identifier>8.</identifier>
                <para>
                  <paratext>Propose or enter into any arrangement, scheme, moratorium, compromise or composition with its creditors (whether under Part I of the Insolvency Act 1986 or otherwise).</paratext>
                </para>
              </clause>
              <clause id="a501787">
                <identifier>9.</identifier>
                <para>
                  <paratext>Apply for an interim order under Part 1 of the Insolvency Act 1986 or to invite the appointment of a receiver or administrative receiver over all or any part of the Company's assets or undertaking.</paratext>
                </para>
              </clause>
              <clause condition="optional" id="a371115">
                <identifier>10.</identifier>
                <para>
                  <paratext>Approve any merger, liquidation, dissolution or acquisition of the Company.</paratext>
                </para>
              </clause>
              <clause id="a781876">
                <identifier>11.</identifier>
                <para>
                  <paratext>Make any change to its auditors.</paratext>
                </para>
              </clause>
              <clause id="a256809">
                <identifier>12.</identifier>
                <para>
                  <paratext>Change its accounting reference date.</paratext>
                </para>
              </clause>
              <clause id="a439783">
                <identifier>13.</identifier>
                <para>
                  <paratext>[OTHERS].</paratext>
                </para>
              </clause>
            </part>
            <part id="a601611">
              <identifier>Part 3</identifier>
              <head align="left" preservecase="true">
                <headtext>Matters requiring investor director consent</headtext>
              </head>
              <clause id="a341765">
                <identifier>1.</identifier>
                <para>
                  <paratext>Offer or grant any registration rights to any future shareholder in the Company without offering substantially similar rights to the Investor.</paratext>
                </para>
              </clause>
              <clause id="a892223">
                <identifier>2.</identifier>
                <para>
                  <paratext>Incur any capital expenditure on any one item, or series of related items, in excess of £[AMOUNT] and, in respect of any period of 12 consecutive months in excess of £[AMOUNT].</paratext>
                </para>
              </clause>
              <clause id="a699494">
                <identifier>3.</identifier>
                <para>
                  <paratext>Dispose of any asset of a capital nature having a book or market value greater than £[AMOUNT] [other than on arm's length terms].</paratext>
                </para>
              </clause>
              <clause id="a881357">
                <identifier>4.</identifier>
                <para>
                  <paratext>Engage any employee or consultant, or vary the terms of any person so engaged with the Company so that:</paratext>
                </para>
                <subclause1 id="a630404">
                  <identifier>4.1</identifier>
                  <para>
                    <paratext>more than three months' notice is required to terminate the contract; or</paratext>
                  </para>
                </subclause1>
                <subclause1 id="a202170">
                  <identifier>4.2</identifier>
                  <para>
                    <paratext>the emoluments and/or commissions or bonuses are or are likely to be more than £[AMOUNT] per annum.</paratext>
                  </para>
                </subclause1>
              </clause>
              <clause id="a586221">
                <identifier>5.</identifier>
                <para>
                  <paratext>Make any change to:</paratext>
                </para>
                <subclause1 id="a254439">
                  <identifier>5.1</identifier>
                  <para>
                    <paratext>its bankers or the terms of the mandate given to such bankers in relation to its account(s);</paratext>
                  </para>
                </subclause1>
                <subclause1 id="a941208">
                  <identifier>5.2</identifier>
                  <para>
                    <paratext>its accounting policies, bases or methods from those set out in the Accounts and the Accountants' Report (other than as recommended by the auditors of the Company).</paratext>
                  </para>
                </subclause1>
              </clause>
              <clause id="a663822">
                <identifier>6.</identifier>
                <para>
                  <paratext>Make any [material] amendment to the Business Plan.</paratext>
                </para>
              </clause>
              <clause id="a878870">
                <identifier>7.</identifier>
                <para>
                  <paratext>Enter into any contract or arrangement that is not on an arm's length basis.</paratext>
                </para>
              </clause>
              <clause id="a957916">
                <identifier>8.</identifier>
                <para>
                  <paratext>[OTHERS].</paratext>
                </para>
              </clause>
            </part>
          </schedule>
          <schedule id="a151368">
            <identifier>Schedule 5</identifier>
            <head align="left" preservecase="true">
              <headtext>Warranties</headtext>
            </head>
            <clause id="a543404">
              <identifier>1.</identifier>
              <head align="left" preservecase="true">
                <headtext>Share Capital</headtext>
              </head>
              <subclause1 id="a799704">
                <identifier>1.1</identifier>
                <para>
                  <paratext>
                    The Founders are the legal and beneficial owners of [or otherwise interested in] the number of Ordinary Shares set opposite their respective names in 
                    <internal.reference refid="a114201">Schedule 1</internal.reference>
                    . All of the shares set out in Schedule 1 are fully paid [and comprise the entire issued share capital of the Company].
                  </paratext>
                </para>
              </subclause1>
              <subclause1 id="a734257">
                <identifier>1.2</identifier>
                <para>
                  <paratext>None of the share capital of the Company (whether issued or unissued) is under option or subject to any Encumbrance. No dividends or other rights or benefits have been declared, made or paid or agreed to be declared, made or paid thereon.</paratext>
                </para>
              </subclause1>
            </clause>
            <clause id="a636873">
              <identifier>2.</identifier>
              <head align="left" preservecase="true">
                <headtext>Information supplied</headtext>
              </head>
              <subclause1 id="a753837">
                <identifier>2.1</identifier>
                <para>
                  <paratext>All information contained in the Disclosure Letter [and in the replies to preliminary enquiries] is true, complete and accurate in all material respects.</paratext>
                </para>
              </subclause1>
              <subclause1 id="a550596">
                <identifier>2.2</identifier>
                <para>
                  <paratext>
                    The information contained or referred to in the Background, 
                    <internal.reference refid="a114201">Schedule 1</internal.reference>
                    , 
                    <internal.reference refid="a452926">Schedule 2</internal.reference>
                     and 
                    <internal.reference refid="a242123">Schedule 6</internal.reference>
                     is true, complete and accurate and not misleading.
                  </paratext>
                </para>
              </subclause1>
              <subclause1 id="a556360">
                <identifier>2.3</identifier>
                <para>
                  <paratext>No Warrantor is aware of any fact or matter not disclosed in writing to the Investor which directly affects the business of the Company, the disclosure of which might reasonably affect the willingness of a reasonable institutional investor to apply for Shares in the capital of the Company, or the price at or terms on which an institutional investor would be willing to subscribe for them</paratext>
                </para>
              </subclause1>
            </clause>
            <clause id="a107625">
              <identifier>3.</identifier>
              <head align="left" preservecase="true">
                <headtext>Business Plan</headtext>
              </head>
              <subclause1 id="a139402">
                <identifier>3.1</identifier>
                <para>
                  <paratext>The Business Plan has been diligently prepared and, as at the date of this agreement, each of the Founders believes that it represents a realistic plan in relation to the future progress, expansion and development of the business of the Company.</paratext>
                </para>
              </subclause1>
              <subclause1 id="a970231">
                <identifier>3.2</identifier>
                <para>
                  <paratext>All factual information contained in the Business Plan was when given, and is at the date of this agreement, true, complete and accurate in all material respects and not misleading.</paratext>
                </para>
              </subclause1>
              <subclause1 id="a360453">
                <identifier>3.3</identifier>
                <para>
                  <paratext>The financial forecasts, projections or estimates contained in the Business Plan have been diligently prepared, are fair, valid and reasonable and are not in need of material amendment, modification, review or other alteration, nor have they been disproved in the light of any events or circumstances which have arisen after the preparation of the Business Plan up to the date of this agreement.</paratext>
                </para>
              </subclause1>
              <subclause1 id="a704628">
                <identifier>3.4</identifier>
                <para>
                  <paratext>The assumptions on which the prospects of the Company are based, as stated in the Business Plan, are set out in the Disclosure Letter and have been carefully considered and each of the Founders believes that, having regard to the information available and to the market conditions prevailing at the time that the Business Plan was prepared, they were reasonable.</paratext>
                </para>
              </subclause1>
              <subclause1 id="a272598">
                <identifier>3.5</identifier>
                <para>
                  <paratext>Each of the Founders believes that all statements of opinion in the Business Plan are fair and reasonable and are not misleading.</paratext>
                </para>
              </subclause1>
              <subclause1 id="a503792">
                <identifier>3.6</identifier>
                <para>
                  <paratext>All matters within management control which could materially and adversely affect the achievement of the financial forecasts in the Business Plan (other than general economic factors) are referred to in the Business Plan and have been taken into account in its preparation.</paratext>
                </para>
              </subclause1>
            </clause>
            <clause id="a151616">
              <identifier>4.</identifier>
              <head align="left" preservecase="true">
                <headtext>Accounts</headtext>
              </head>
              <subclause1 id="a698271">
                <identifier>4.1</identifier>
                <para>
                  <paratext>The Accounts have been prepared in accordance with accounting principles, standards and practices which are generally accepted in the United Kingdom and on the same basis and in accordance with the same accounting policies as the corresponding accounts for the preceding [NUMBER] financial years, comply with the requirements of the Act and give a true and fair view of the state of affairs of the Company at the Accounts Date and of the profits and losses for the period concerned.</paratext>
                </para>
              </subclause1>
              <subclause1 id="a240601">
                <identifier>4.2</identifier>
                <para>
                  <paratext>
                    The Accounts make [proper 
                    <bold>OR </bold>
                     adequate 
                    <bold>OR </bold>
                     full] provision for or, in the case of actual liabilities, properly disclose, note or take into account as at the Accounts Date:
                  </paratext>
                </para>
                <subclause2 id="a991967">
                  <identifier>(a)</identifier>
                  <para>
                    <paratext>all liabilities (whether actual contingent or disputed);</paratext>
                  </para>
                </subclause2>
                <subclause2 id="a681760">
                  <identifier>(b)</identifier>
                  <para>
                    <paratext>all capital commitments (whether actual or contingent);</paratext>
                  </para>
                </subclause2>
                <subclause2 id="a242252">
                  <identifier>(c)</identifier>
                  <para>
                    <paratext>all bad and doubtful debts; and</paratext>
                  </para>
                </subclause2>
                <subclause2 id="a353269">
                  <identifier>(d)</identifier>
                  <para>
                    <paratext>all taxation.</paratext>
                  </para>
                </subclause2>
              </subclause1>
              <subclause1 id="a860579">
                <identifier>4.3</identifier>
                <para>
                  <paratext>The Accounts properly provide or reserve for all Taxation for which the Company was liable at the Accounts Date.</paratext>
                </para>
              </subclause1>
              <subclause1 id="a128541">
                <identifier>4.4</identifier>
                <para>
                  <paratext>The profits (or losses) shown in the Accounts have not [to a material extent] been affected (except as disclosed therein) by any extraordinary or exceptional event or circumstance or by any other factor rendering such profits unusually high or low.</paratext>
                </para>
              </subclause1>
            </clause>
            <clause condition="optional" id="a227291">
              <identifier>5.</identifier>
              <head align="left" preservecase="true">
                <headtext>Management Accounts</headtext>
              </head>
              <subclause1 id="a327755">
                <para>
                  <paratext>
                    The Management Accounts have been properly prepared by the Company in accordance with good accounting practice and on a basis consistent with that employed in preparing the Accounts, and [give a true and fair view of 
                    <bold>OR </bold>
                    fairly represent] the financial position of the Company as at [DATE] and for the [NUMBER] month period then ended. Except as expressly disclosed in the Management Accounts, there were no unusual, exceptional, non-recurring or extraordinary items which materially affected such accounts.
                  </paratext>
                </para>
              </subclause1>
            </clause>
            <clause id="a132791">
              <identifier>6.</identifier>
              <head align="left" preservecase="true">
                <headtext>Events since the accounts date</headtext>
              </head>
              <subclause1 id="a824107">
                <para>
                  <paratext>Since the Accounts Date, as regards the Company:</paratext>
                </para>
                <subclause2 id="a723296">
                  <identifier>(a)</identifier>
                  <para>
                    <paratext>its business has been carried on in the ordinary and usual course [without interruption], both as regards the nature, scope and manner of conducting the business of the Company and so as to maintain it as a going concern;</paratext>
                  </para>
                </subclause2>
                <subclause2 id="a672448">
                  <identifier>(b)</identifier>
                  <para>
                    <paratext>there has been no material adverse change in the financial or trading position or prospects of its business, and no such change is expected; and</paratext>
                  </para>
                </subclause2>
                <subclause2 id="a777257">
                  <identifier>(c)</identifier>
                  <para>
                    <paratext>no dividend or other distribution has been declared, made or paid to its members nor has it repaid any loan capital or other debenture;</paratext>
                  </para>
                </subclause2>
                <subclause2 id="a599768">
                  <identifier>(d)</identifier>
                  <para>
                    <paratext>no change has been made (or agreed to be made) in the emoluments or other terms of employment of any of its employees who are in receipt of remuneration in excess of £[AMOUNT] per annum or of any of the directors of the Company nor has it paid any bonus or special remuneration to any such employee or any of its directors;</paratext>
                  </para>
                </subclause2>
                <subclause2 id="a865105">
                  <identifier>(e)</identifier>
                  <para>
                    <paratext>it has not borrowed monies (except in the ordinary course of the business carried on by it or from its bankers under agreed loan facilities);</paratext>
                  </para>
                </subclause2>
                <subclause2 id="a196734">
                  <identifier>(f)</identifier>
                  <para>
                    <paratext>there has not been any deterioration in the financial position or prospects of the business of the Company (whether in consequence of normal trading or otherwise);</paratext>
                  </para>
                </subclause2>
                <subclause2 id="a888494">
                  <identifier>(g)</identifier>
                  <para>
                    <paratext>neither the trading nor the profitability of the business of the Company shows, as regards turnover, the state of order book, expenses and profit margins, any material deterioration or downturn by comparison with the period ended on the Accounts Date;</paratext>
                  </para>
                </subclause2>
                <subclause2 id="a904803">
                  <identifier>(h)</identifier>
                  <para>
                    <paratext>no part of the business of the Company has been affected to a material extent by the loss of any important customer, any source of supply, by the cancellation or loss of any order or contract, or by any other abnormal factor or event nor so far as the Warrantors are aware are there any circumstances likely to lead thereto;</paratext>
                  </para>
                </subclause2>
                <subclause2 id="a197588">
                  <identifier>(i)</identifier>
                  <para>
                    <paratext>no employee has been dismissed or made redundant, nor has the Company taken (or omitted to take) any action which would entitle any employee to claim that he has been constructively dismissed;  and</paratext>
                  </para>
                </subclause2>
                <subclause2 id="a767528">
                  <identifier>(j)</identifier>
                  <para>
                    <paratext>there are no liabilities (including contingent liabilities) outstanding on the part of the Company other than those liabilities disclosed in the Accounts or incurred in the ordinary and proper course of business since the Account Date which are similarly disclosed in the Management Accounts or in the books and records of the Company.</paratext>
                  </para>
                </subclause2>
              </subclause1>
            </clause>
            <clause id="a734241">
              <identifier>7.</identifier>
              <head align="left" preservecase="true">
                <headtext>Taxation</headtext>
              </head>
              <subclause1 id="a128039">
                <identifier>7.1</identifier>
                <para>
                  <paratext>
                    The Company has duly and punctually made all returns and given or delivered all notices, accounts and information which ought to have been made to, and is not involved in, any dispute with HM Revenue &amp; Customs or any other governmental, state, federal, provincial, local governmental or municipal authority, body or official (whether in the United Kingdom or elsewhere in the world) (
                    <defn.term>Taxing Authority</defn.term>
                    ) concerning any matter likely to affect in any way the liability (whether accrued, contingent or future) of it to taxation and the Company is not aware of any matter which may lead to such dispute.
                  </paratext>
                </para>
              </subclause1>
              <subclause1 id="a706212">
                <identifier>7.2</identifier>
                <para>
                  <paratext>The Company has duly paid or fully provided for all taxation for which it is liable and there are no circumstances in which interest or penalties in respect of taxation not duly paid could be charged against it in respect of any period prior to Completion.</paratext>
                </para>
              </subclause1>
              <subclause1 id="a883422">
                <identifier>7.3</identifier>
                <para>
                  <paratext>No liability of the Company to taxation, or to account for taxation, has arisen or will arise up to Completion except for:</paratext>
                </para>
                <subclause2 id="a593986">
                  <identifier>(a)</identifier>
                  <para>
                    <paratext>corporation tax payable in respect of normal trading profits earned by it;</paratext>
                  </para>
                </subclause2>
                <subclause2 id="a302363">
                  <identifier>(b)</identifier>
                  <para>
                    <paratext>income tax deducted under PAYE regulations;</paratext>
                  </para>
                </subclause2>
                <subclause2 id="a921990">
                  <identifier>(c)</identifier>
                  <para>
                    <paratext>National Insurance contributions in respect of cash emoluments; or</paratext>
                  </para>
                </subclause2>
                <subclause2 id="a439040">
                  <identifier>(d)</identifier>
                  <para>
                    <paratext>value added tax for which it is accountable to any Taxing Authority,</paratext>
                  </para>
                </subclause2>
                <para>
                  <paratext>and which has, where appropriate, been deducted or charged and where due, paid to the appropriate Taxing Authority.</paratext>
                </para>
              </subclause1>
              <subclause1 id="a276728">
                <identifier>7.4</identifier>
                <para>
                  <paratext>The Company has not entered into or been a party to any schemes or arrangements designed partly or wholly for the purpose of it or (so far as each of the Warrantors are aware) any other person avoiding taxation.</paratext>
                </para>
              </subclause1>
              <subclause1 id="a457805">
                <identifier>7.5</identifier>
                <para>
                  <paratext>All documents to which the Company is a party or which form part of the Company’s title to any asset owned or possessed by it or which the Company may need to enforce or produce in evidence in the courts of the United Kingdom have been duly stamped and (where appropriate) adjudicated.</paratext>
                </para>
              </subclause1>
              <subclause1 condition="optional" id="a698376">
                <identifier>7.6</identifier>
                <para>
                  <paratext>No directors, officers or employees of the Company have received any securities, interests in securities or securities options as defined in Part 7 of ITEPA.</paratext>
                </para>
              </subclause1>
              <subclause1 condition="optional" id="a534605">
                <identifier>7.7</identifier>
                <para>
                  <paratext>No directors, employees or officers of the company have received any securities or interests in securities in a form which is, or could be, treated as a "readily convertible asset" as defined in Section 702 of ITEPA.</paratext>
                </para>
              </subclause1>
              <subclause1 condition="optional" id="a556166">
                <identifier>7.8</identifier>
                <para>
                  <paratext>All directors, officers or employees of the company who have received any securities or interests in securities falling with Chapter 2 of Part 7 of ITEPA have entered into elections jointly with the company under section 431 of ITEPA. A Schedule of any such directors, officers or employees and the elections entered into is attached to the Disclosure Letter.</paratext>
                </para>
              </subclause1>
            </clause>
            <clause id="a800606">
              <identifier>8.</identifier>
              <head align="left" preservecase="true">
                <headtext>Litigation</headtext>
              </head>
              <subclause1 id="a671853">
                <identifier>8.1</identifier>
                <para>
                  <paratext>Neither the Company, nor any person for whose acts or omissions it may be vicariously liable, is engaged in or subject to any:</paratext>
                </para>
                <subclause2 id="a297110">
                  <identifier>(a)</identifier>
                  <para>
                    <paratext>litigation, administrative, mediation or arbitration proceedings (except for debt collection in the ordinary and usual course of business, details of which have been Disclosed) in relation to the Company or its business or any of them; or</paratext>
                  </para>
                </subclause2>
                <subclause2 id="a815664">
                  <identifier>(b)</identifier>
                  <para>
                    <paratext>is the subject of any investigation, inquiry or enforcement proceedings by any governmental, administrative or regulatory body.</paratext>
                  </para>
                </subclause2>
              </subclause1>
              <subclause1 id="a798097">
                <identifier>8.2</identifier>
                <para>
                  <paratext>
                    No such proceedings, investigation or inquiry as are mentioned in 
                    <internal.reference refid="a671853">paragraph 8.1</internal.reference>
                     have been threatened or are pending by or against the Company or against any such person and there are no facts or circumstances likely to give rise to any such proceedings.
                  </paratext>
                </para>
              </subclause1>
              <subclause1 id="a682824">
                <identifier>8.3</identifier>
                <para>
                  <paratext>There are no existing or pending judgments or rulings against the Company which affect (or may affect) the business of the Company or any part of it. The Company has not given any undertakings arising from legal proceedings to a court, governmental agency or regulator or third party which could affect the business of the Company or any part of it.</paratext>
                </para>
              </subclause1>
            </clause>
            <clause condition="optional" id="a771162">
              <identifier>9.</identifier>
              <head align="left" preservecase="true">
                <headtext>Property</headtext>
              </head>
              <subclause1 id="a606965">
                <identifier>9.1</identifier>
                <para>
                  <paratext>
                    The particulars of the Properties set out in 
                    <internal.reference refid="a242123">Schedule 6</internal.reference>
                     are true, complete and accurate.
                  </paratext>
                </para>
              </subclause1>
              <subclause1 id="a409117">
                <identifier>9.2</identifier>
                <para>
                  <paratext>
                    The Company has a good and marketable title to and is legal and beneficial owner of each of the Properties as described in 
                    <internal.reference refid="a242123">Schedule 6</internal.reference>
                    .  Except for the Properties, the Company does not own, use or occupy any other land or building whether under a licence or otherwise.
                  </paratext>
                </para>
              </subclause1>
              <subclause1 id="a721045">
                <identifier>9.3</identifier>
                <para>
                  <paratext>Each of the Properties is free from all leases, tenancies, options, licences, mortgages, charges, liens and Encumbrances and any agreement to create any of them.</paratext>
                </para>
              </subclause1>
              <subclause1 id="a726487">
                <identifier>9.4</identifier>
                <para>
                  <paratext>Each of the Properties is in a good and substantial state of repair. The Warrantors are not aware of any structural problems in any of the Properties and no deleterious substances not approved by any relevant Code of Practice have been used in the construction of the Properties.</paratext>
                </para>
              </subclause1>
              <subclause1 id="a833062">
                <identifier>9.5</identifier>
                <para>
                  <paratext>All covenants, obligations (including statutory obligations), restrictions and conditions affecting any of the Properties or the Company as owner or lessee of them have been observed and performed and all outgoings (including rates) have been duly paid and all the Properties are insured to their full reinstatement value.</paratext>
                </para>
              </subclause1>
              <subclause1 id="a435175">
                <identifier>9.6</identifier>
                <para>
                  <paratext>The replies given by the Company's Solicitors to enquiries raised by the Investor's Solicitors in relation to the Properties are true, accurate and not misleading.</paratext>
                </para>
              </subclause1>
              <subclause1 id="a362143">
                <identifier>9.7</identifier>
                <para>
                  <paratext>There are no covenants, obligations, restrictions, conditions, easements, Encumbrances or statutory consents or authorisations which are of an unusual or onerous nature or which would affect the continued use of any of the Properties for the purposes of the business of the Company or the value of the Properties.</paratext>
                </para>
              </subclause1>
              <subclause1 id="a470463">
                <identifier>9.8</identifier>
                <para>
                  <paratext>There are no compulsory purchase orders or resolutions affecting any of the Properties or any proposal for such an order or resolution of which the Warrantors are aware.</paratext>
                </para>
              </subclause1>
              <subclause1 id="a495347">
                <identifier>9.9</identifier>
                <para>
                  <paratext>All deeds and documents necessary to prove title to each of the Properties are in the possession of the Company and have been or will be duly stamped. Where title to any of the Properties requires registration at HM Land Registry, it has been so registered with title absolute.</paratext>
                </para>
              </subclause1>
              <subclause1 id="a607894">
                <identifier>9.10</identifier>
                <para>
                  <paratext>There is no actual or contingent liability on the part of the Company in relation to any real property other than the Properties including any actual or contingent liability as previous lessee, underlessee, guarantor, surety or covenantor in relation to any lease or underlease.</paratext>
                </para>
              </subclause1>
              <subclause1 id="a384103">
                <identifier>9.11</identifier>
                <para>
                  <paratext>The Company has received no indication of any actual, pending or threatened actions by regulatory authorities or third parties in respect of any alleged non-compliance with or liability under environmental law.</paratext>
                </para>
              </subclause1>
            </clause>
            <clause id="a598987">
              <identifier>10.</identifier>
              <head align="left" preservecase="true">
                <headtext>Intellectual Property</headtext>
              </head>
              <subclause1 id="a954027">
                <identifier>10.1</identifier>
                <para>
                  <paratext>The Company has taken all steps [reasonably considered by the Founders to be] necessary or desirable for the fullest protection of all Intellectual Property and know-how used by it. [Except for transactions in the ordinary course of business,] the Company has not itself granted any rights to third parties in relation to any of its Intellectual Property.</paratext>
                </para>
              </subclause1>
              <subclause1 id="a930741">
                <identifier>10.2</identifier>
                <para>
                  <paratext>[So far as the Warrantors are aware,] the operations of the Company and any products or services supplied by it do not use or infringe the rights of any person or infringe any right of privacy. The Warrantors are not aware of any claims or applications for registration which might be material for disclosure to the Investor as an applicant for shares in the Company.</paratext>
                </para>
              </subclause1>
              <subclause1 id="a506359">
                <identifier>10.3</identifier>
                <para>
                  <paratext>All Intellectual Property [(including know-how)] which is, or is likely to be, material to the business of the Company, are (or in the case of applications will be) legally and beneficially vested exclusively in the Company and valid and enforceable and not subject to any claims of opposition from any third party.</paratext>
                </para>
              </subclause1>
              <subclause1 id="a963928">
                <identifier>10.4</identifier>
                <para>
                  <paratext>Short particulars of all licences entered into by the Company in relation to Intellectual Property, and in respect of which the Company is a (or the) licensor, are set out in the Disclosure Letter and in respect of which the Company is a or the licensee or otherwise a party, are set out in the Disclosure Letter.</paratext>
                </para>
              </subclause1>
              <subclause1 id="a975546">
                <identifier>10.5</identifier>
                <para>
                  <paratext>No Intellectual Property in which the Company has any interest and which is, or is likely to be, material to the business of the Company is:</paratext>
                </para>
                <subclause2 id="a358828">
                  <identifier>(a)</identifier>
                  <para>
                    <paratext>being (or has been) infringed, misappropriated or used without permission by any other person; or</paratext>
                  </para>
                </subclause2>
                <subclause2 id="a759282">
                  <identifier>(b)</identifier>
                  <para>
                    <paratext>subject to any licence, estoppel or authority or similar right in favour of any other person, except as set out in the agreements listed in the Disclosure Letter.</paratext>
                  </para>
                </subclause2>
              </subclause1>
              <subclause1 id="a658215">
                <identifier>10.6</identifier>
                <para>
                  <paratext>All Intellectual Property which is registered in the name of the Company, or in respect of which the Company has made application for registration, is:</paratext>
                </para>
                <subclause2 id="a206550">
                  <identifier>(a)</identifier>
                  <para>
                    <paratext>listed and briefly described in the Disclosure Letter;</paratext>
                  </para>
                </subclause2>
                <subclause2 id="a788250">
                  <identifier>(b)</identifier>
                  <para>
                    <paratext>legally and beneficially vested in the Company; and</paratext>
                  </para>
                </subclause2>
                <subclause2 id="a151027">
                  <identifier>(c)</identifier>
                  <para>
                    <paratext>valid and enforceable.</paratext>
                  </para>
                </subclause2>
              </subclause1>
              <subclause1 id="a674985">
                <identifier>10.7</identifier>
                <para>
                  <paratext>All renewal fees in respect of the registered Intellectual Property have been duly paid, and all other steps required to maintain and protect the registered Intellectual Property have been taken, in any jurisdiction in which they are registered.</paratext>
                </para>
              </subclause1>
              <subclause1 id="a225730">
                <identifier>10.8</identifier>
                <para>
                  <paratext>Nothing has been done, or omitted to be done, whereby any Intellectual Property owned or used by the Company have ceased (or might cease) to be valid and enforceable, or whereby any person is or will be able to seek cancellation, rectification or any other modification of any registration of any such Intellectual Property.</paratext>
                </para>
              </subclause1>
              <subclause1 id="a288691">
                <identifier>10.9</identifier>
                <para>
                  <paratext>No person other than the Company has registered or applied to register in any country any invention, topography, copyright work, design, trade or service mark or name, trade secret or know-how or other Intellectual Property made, or claimed to be owned, by the Company.</paratext>
                </para>
              </subclause1>
              <subclause1 id="a216282">
                <identifier>10.10</identifier>
                <para>
                  <paratext>The licences, agreements and arrangements listed in the Disclosure Letter (true, current and complete copies of each of which have been supplied to the Investor) have been entered into in the ordinary course of business, are in full force and effect and no notice has been given on either side to terminate any of them, and no amendment made or accepted to their terms since they were first entered into; and the obligations of all parties under each of the same have been fully complied with and no disputes exist or are anticipated in respect of any of them.</paratext>
                </para>
              </subclause1>
              <subclause1 id="a976649">
                <identifier>10.11</identifier>
                <para>
                  <paratext>The Company has not knowingly disclosed or permitted to be disclosed, to any person (other than to the Investor and to their agents, employees or professional advisers) any of its know-how, trade secrets, confidential information or lists of customers or suppliers.</paratext>
                </para>
              </subclause1>
              <subclause1 condition="optional" id="a927914">
                <identifier>10.12</identifier>
                <para>
                  <paratext>The copy of the Company's standard terms and conditions in the Disclosure Bundle are properly incorporated into any transaction conducted over the internet by the Company and govern access to and use of any internet website owned, operated or hosted by the Company or through which the Company conducts any of its business.</paratext>
                </para>
              </subclause1>
              <subclause1 id="a667994">
                <identifier>10.13</identifier>
                <para>
                  <paratext>No person has registered domain names that are similar to any trademarks, service marks, domain names or business or trading names used, created or owned by the Company.</paratext>
                </para>
              </subclause1>
              <subclause1 id="a381068">
                <identifier>10.14</identifier>
                <para>
                  <paratext>The contents of any website through which the Company conducts any of its business complies with all laws, regulations and codes of practice in any applicable jurisdiction and such website is not linked by a hypertext link to any other website.</paratext>
                </para>
              </subclause1>
              <subclause1 id="a190397">
                <identifier>10.15</identifier>
                <para>
                  <paratext>[So far as the Warrantors are aware,] there are no third party claims that any domain name registered by the Company is in infringement of a third party's domain name or other Intellectual Property rights.</paratext>
                </para>
              </subclause1>
            </clause>
            <clause id="a321979">
              <identifier>11.</identifier>
              <head align="left" preservecase="true">
                <headtext>Data protection</headtext>
              </head>
              <drafting.note id="a426424" jurisdiction="">
                <head align="left" preservecase="true">
                  <headtext>Data protection</headtext>
                </head>
                <division id="a000052" level="1">
                  <para>
                    <paratext>
                      Prior to 25 May 2018, the applicable regime for data protection in the UK was set out principally in the 
                      <link href="https://uk.practicallaw.thomsonreuters.com/Document/I5FB72F81E42311DAA7CF8F68F6EE57AB/View/FullText.html?navId=E56699DB3D363B88D5471EE24BC98EDD&amp;amp;comp=pluk&amp;amp;transitionType=Default&amp;amp;contextData=(sc.Default)" style="ACTLinkURL">
                        <ital>Data Protection Act 1998</ital>
                      </link>
                       (DPA 1998) (for background, see 
                      <link href="7-107-4765" style="ACTLinkPLCtoPLC">
                        <ital>Practice note, Overview of UK data protection regime (DPA 1998 version)</ital>
                      </link>
                      ).
                    </paratext>
                  </para>
                  <para>
                    <paratext>
                      However, from 25 May 2018, the EU's 
                      <link href="https://uk.practicallaw.thomsonreuters.com/PLCCoreDocument/ViewDocument.html?navId=5FF284E9EC8396DAAEBDECB6AA468F33&amp;amp;comp=pluk&amp;amp;DocumentGuid=Ie887bae554de11e698dc8b09b4f043e0&amp;amp;ViewType=FullText&amp;amp;HasDraftingNotes=False&amp;amp;ResearchReportViewMode=False&amp;amp;SessionScopeIsValid=True&amp;amp;IsCourtWireDocument=False&amp;amp;IsSuperPrivateDocument=False&amp;amp;IsPrivateDocument=False&amp;amp;ClientMatter=Cobalt.Website.Platform.Web.UserData.ClientMatter&amp;amp;AuthenticationStrength=50&amp;amp;IsMedLitStubDocument=False&amp;amp;IsOutOfPlanDocumentViewClicked=False&amp;amp;TransitionType=Default&amp;amp;ContextData=(sc.Default)&amp;amp;BillingContextData=(sc.Default)" style="ACTLinkURL">
                        <ital>General Data Protection Regulation ((EU) 2016/679)</ital>
                      </link>
                       (GDPR) became directly applicable in the UK and all other EU member states. The GDPR replaced current EU data privacy laws, including the 
                      <link href="https://uk.practicallaw.thomsonreuters.com/PLCCoreDocument/ViewDocument.html?navId=B984F13AB5F56FA3BC19C7749F9713C1&amp;amp;comp=pluk&amp;amp;DocumentGuid=I20036b0f86e311e498db8b09b4f043e0&amp;amp;ViewType=FullText&amp;amp;HasDraftingNotes=False&amp;amp;ResearchReportViewMode=False&amp;amp;SessionScopeIsValid=True&amp;amp;IsCourtWireDocument=False&amp;amp;IsSuperPrivateDocument=False&amp;amp;IsPrivateDocument=False&amp;amp;ClientMatter=Cobalt.Website.Platform.Web.UserData.ClientMatter&amp;amp;AuthenticationStrength=50&amp;amp;IsMedLitStubDocument=False&amp;amp;IsOutOfPlanDocumentViewClicked=False&amp;amp;TransitionType=Default&amp;amp;ContextData=%28sc.Default%29&amp;amp;BillingContextData=%28sc.Default%29" style="ACTLinkURL">
                        <ital>Data Protection Directive (95/46/EC)</ital>
                      </link>
                       (Data Protection Directive) and the DPA 1998, and brought significant changes to the data protection framework in the EU.
                    </paratext>
                  </para>
                  <para>
                    <paratext>
                      The GDPR imposed many new obligations on both 
                      <link href="5-107-5723" style="ACTLinkPLCtoPLC">
                        <ital>controllers</ital>
                      </link>
                       and 
                      <link href="3-107-5724" style="ACTLinkPLCtoPLC">
                        <ital>processors</ital>
                      </link>
                      , including direct liability for processors (for further information, see 
                      <link anchor="a642706" href="w-013-3757" style="ACTLinkPLCtoPLC">
                        <ital>Practice note, Overview of GDPR: UK perspective: Direct responsibility and obligations</ital>
                      </link>
                      . It also introduced a new concept of "accountability", which requires compliance with the requirements of the GDPR to be demonstrable. Controllers must therefore implement appropriate technical and organisational measures to ensure, and be able to demonstrate, that their data processing activities are performed in compliance with the GDPR. There is also an ongoing obligation to review these processes and update them where necessary. For further information on the accountability principle, see 
                      <link href="w-005-2644" style="ACTLinkPLCtoPLC">
                        <ital>Practice note, Demonstrating Compliance with the GDPR</ital>
                      </link>
                      .
                    </paratext>
                  </para>
                  <para>
                    <paratext>Other key changes under the new regime include:</paratext>
                  </para>
                  <list type="bulleted">
                    <list.item>
                      <para>
                        <paratext>
                          Expanded territorial scope which means that many non-EU businesses that were not required to comply with the Data Protection Directive are now required to comply with the GDPR. For further information, see 
                          <link anchor="a986396" href="w-007-9580" style="ACTLinkPLCtoPLC">
                            <ital>Practice notes, Overview of EU General Data Protection Regulation: Territorial scope</ital>
                          </link>
                           and 
                          <link anchor="a358130" href="w-013-3757" style="ACTLinkPLCtoPLC">
                            <ital>Overview of GDPR: UK perspective: Application outside Europe</ital>
                          </link>
                          .
                        </paratext>
                      </para>
                    </list.item>
                    <list.item>
                      <para>
                        <paratext>
                          Strict data breach notification obligations that require businesses to notify their supervisory authority of all data breaches without undue delay and, where feasible, within 72 hours unless the data breach is unlikely to result in a risk to the rights and freedoms of individuals. If the breach is likely to result in high risk to the individuals, the GDPR also requires data controllers to inform data subjects "without undue delay", unless an exception applies. For further information, see 
                          <link anchor="a721481" href="w-007-9580" style="ACTLinkPLCtoPLC">
                            <ital>Practice notes, Overview of EU General Data Protection Regulation: Data security breach</ital>
                          </link>
                           and 
                          <link anchor="a205282" href="w-013-3757" style="ACTLinkPLCtoPLC">
                            <ital>Overview of GDPR: UK perspective: Data security and personal data breaches</ital>
                          </link>
                          .
                        </paratext>
                      </para>
                    </list.item>
                    <list.item>
                      <para>
                        <paratext>
                          Increased enforcement powers and tougher sanctions for breach, including imposing fines of up to €20 million or 4% of total worldwide annual turnover, whichever is the greater, for the most serious breaches. This is a significant increase from the monetary penalty notices of up to £500,000 that the Information Commissioner's Office could levy under the DPA 1998 For further information, see 
                          <link href="2-624-5547" style="ACTLinkPLCtoPLC">
                            <ital>Practice note, EU General Data Protection Regulation noter-up: enforcement, sanctions and remedies</ital>
                          </link>
                          .
                        </paratext>
                      </para>
                    </list.item>
                    <list.item>
                      <para>
                        <paratext>
                          The creation of a number of new data subject rights, as well as strengthening some of the rights that existed under the DPA 1998. For further information, see 
                          <link href="w-006-7553" style="ACTLinkPLCtoPLC">
                            <ital>Practice note, Data Subject Rights Under the GDPR</ital>
                          </link>
                          .
                        </paratext>
                      </para>
                    </list.item>
                    <list.item>
                      <para>
                        <paratext>
                          The requirement for organisations to appoint a data protection officer when certain categories of data are processed on a "large scale" or where the core activities of the organisation involve regular, systematic and large-scale monitoring of data subjects. For further information, see 
                          <link href="w-010-3427" style="ACTLinkPLCtoPLC">
                            <ital>Practice note, Data protection officers under the GDPR and DPA 2018</ital>
                          </link>
                          .
                        </paratext>
                      </para>
                    </list.item>
                  </list>
                  <para>
                    <paratext>For more detailed information on the GDPR, see Practice notes:</paratext>
                  </para>
                  <list type="bulleted">
                    <list.item>
                      <para>
                        <paratext>
                          <link href="w-013-3757" style="ACTLinkPLCtoPLC">
                            <ital>Overview of GDPR: UK perspective</ital>
                          </link>
                          .
                        </paratext>
                      </para>
                    </list.item>
                    <list.item>
                      <para>
                        <paratext>
                          <link href="w-007-9580" style="ACTLinkPLCtoPLC">
                            <ital>Practice note: overview, Overview of EU General Data Protection Regulation</ital>
                          </link>
                          .
                        </paratext>
                      </para>
                    </list.item>
                    <list.item>
                      <para>
                        <paratext>
                          <link href="1-619-6000" style="ACTLinkPLCtoPLC">
                            <ital>GDPR: key provisions and what businesses should be doing to comply (UK)</ital>
                          </link>
                          .
                        </paratext>
                      </para>
                    </list.item>
                  </list>
                  <division id="a260562" level="2">
                    <head align="left" preservecase="true">
                      <headtext>GDPR, UK law and Brexit</headtext>
                    </head>
                    <para>
                      <paratext>
                        While the GDPR is directly applicable in the UK, the 
                        <link href="https://uk.practicallaw.thomsonreuters.com/Document/I84C04A10609811E8ADA8B693C6CBC76B/View/FullText.html?navId=E56699DB3D363B88D5471EE24BC98EDD&amp;amp;comp=pluk&amp;amp;transitionType=Default&amp;amp;contextData=(sc.Default)" style="ACTLinkURL">
                          <ital>Data Protection Act 2018</ital>
                        </link>
                         (DPA 2018) has also been enacted, which, with effect from 25 May 2018, repealed and replaced the DPA 1998. The DPA 2018 supplements the GDPR and ultimately provides for UK law alignment with the GDPR following Brexit. This means that while the UK continues to be a member state of the EU, both the GDPR and the DPA 2018 apply. For further information on the DPA 2018, see 
                        <link href="w-014-5998" style="ACTLinkPLCtoPLC">
                          <ital>Practice note: overview, Data Protection Act 2018: overview</ital>
                        </link>
                        .
                      </paratext>
                    </para>
                    <para>
                      <paratext>
                        Once the UK leaves the EU (and any relevant transition or implementation period has expired), the position will remain similar. The European Union (Withdrawal) Act 2018 will incorporate the GDPR into UK law, the DPA 2018 will be amended (see 
                        <link href="w-018-3088" style="ACTLinkPLCtoPLC">
                          <ital>Legal update, The Data Protection, Privacy and Electronic Communications (Amendments etc.) (EU Exit) Regulations 2019: Brexit SI</ital>
                        </link>
                        ) and will continue to supplement the GDPR requirements and standards, set out UK-specific exemptions and cover areas not dealt with by the GDPR (for example, processing of personal data by law enforcement authorities and intelligence services). For more information, see 
                        <link href="9-631-5952" style="ACTLinkPLCtoPLC">
                          <ital>Practical Law's Brexit summary: a watching brief</ital>
                        </link>
                         and 
                        <link href="w-016-7309" style="ACTLinkPLCtoPLC">
                          <ital>Practice note, Brexit: implications for data protection</ital>
                        </link>
                        .
                      </paratext>
                    </para>
                  </division>
                  <division id="a425123" level="2">
                    <head align="left" preservecase="true">
                      <headtext>Limited scope of data protection warranties</headtext>
                    </head>
                    <para>
                      <paratext>
                        While data protection and risk is likely to be a relevant consideration to any investment transaction, as almost every business holds some personal data relating to its employees and/or customers, the warranties set out in 
                        <internal.reference refid="a321979">paragraph 11</internal.reference>
                         are high level. This is on the assumption that, as a relatively early-stage business, the target company will not yet have undertaken significant data processing. If the processing of personal data is a key driver to the company's business or the company is involved in higher risk processing activities, more detail may be appropriate. In such a case, consider the approach taken in 
                        <link href="w-013-7189" style="ACTLinkPLCtoPLC">
                          <ital>Standard clause, Data protection warranties (GDPR and DPA 2018 version): share purchases</ital>
                        </link>
                        .
                      </paratext>
                    </para>
                  </division>
                </division>
              </drafting.note>
              <subclause1 id="a406993">
                <identifier>11.1</identifier>
                <para>
                  <paratext>The Company has complied in all respects with the Data Protection Legislation.</paratext>
                </para>
                <drafting.note id="a979723" jurisdiction="">
                  <head align="left" preservecase="true">
                    <headtext>Compliance with data protection legislation</headtext>
                  </head>
                  <division id="a000053" level="1">
                    <para>
                      <paratext>This warranty seeks to ensure that the warrantors bears the risk of any undisclosed non-compliance by the company with applicable data protection legislation.</paratext>
                    </para>
                    <division id="a150359" level="2">
                      <head align="left" preservecase="true">
                        <headtext>Key obligations under the GDPR</headtext>
                      </head>
                      <para>
                        <paratext>Article 5 of the GDPR sets out seven principles with which data controllers must comply when processing personal data:</paratext>
                      </para>
                      <para>
                        <paratext>
                          <bold>Principle 1: Lawfulness, fairness and transparency.</bold>
                           Personal data should be processed fairly, lawfully and in a transparent manner.
                        </paratext>
                      </para>
                      <para>
                        <paratext>
                          <bold>Principle 2: Purpose limitation.</bold>
                           Personal data should be obtained only for specified, explicit and legitimate purposes and processed only in a compatible manner.
                        </paratext>
                      </para>
                      <para>
                        <paratext>
                          <bold>Principle 3: Data minimisation.</bold>
                           Personal data should be adequate, relevant and not excessive.
                        </paratext>
                      </para>
                      <para>
                        <paratext>
                          <bold>Principle 4: Accuracy.</bold>
                           Personal data should be accurate and up to date. Inaccurate data should be erased or rectified.
                        </paratext>
                      </para>
                      <para>
                        <paratext>
                          <bold>Principle 5: Storage limitation.</bold>
                           Personal data should be kept for no longer than necessary in a form which can identify data subjects.
                        </paratext>
                      </para>
                      <para>
                        <paratext>
                          <bold>Principle 6: Integrity and confidentiality.</bold>
                           Personal data should be kept secure using appropriate technical or organisational measures.
                        </paratext>
                      </para>
                      <para>
                        <paratext>
                          <bold>Principle 7: Accountability.</bold>
                           Personal data should be processed in a way which evidences the controller’s accountability to comply with the principles.
                        </paratext>
                      </para>
                      <para>
                        <paratext>These principles form the core of the data controller's obligations and will usually form the basis of any claim that a data controller has not complied with its statutory duties.</paratext>
                      </para>
                      <para>
                        <paratext>For further information on the data protection principles, see Practice notes:</paratext>
                      </para>
                      <list type="bulleted">
                        <list.item>
                          <para>
                            <paratext>
                              <link anchor="a765087" href="w-007-9580" style="ACTLinkPLCtoPLC">
                                <ital>Overview of EU General Data Protection Regulation: Data protection principles</ital>
                              </link>
                              .
                            </paratext>
                          </para>
                        </list.item>
                        <list.item>
                          <para>
                            <paratext>
                              <link anchor="a550659" href="w-013-3757" style="ACTLinkPLCtoPLC">
                                <ital>Overview of GDPR: UK perspective: Data protection principles</ital>
                              </link>
                              .
                            </paratext>
                          </para>
                        </list.item>
                      </list>
                      <para>
                        <paratext>
                          In addition to observing the data protection principles, the GDPR imposes a number of specific obligations on data controllers relating to data security, personal data breach notification, ensuring individuals' rights and lawful, fair and transparent collection of personal data. For further information, see 
                          <link anchor="a632817" href="w-013-3757" style="ACTLinkPLCtoPLC">
                            <ital>Practice note: overview, Overview of GDPR: UK perspective: Obligations on controllers</ital>
                          </link>
                          .
                        </paratext>
                      </para>
                      <para>
                        <paratext>
                          A key change from the position under the DPA 1998 is that the GDPR also imposes direct obligations and liabilities on data processors (for background on the distinction between controllers and processors, see 
                          <link anchor="a197646" href="w-013-3757" style="ACTLinkPLCtoPLC">
                            <ital>Practice note: overview, Overview of GDPR: UK perspective: Controller</ital>
                          </link>
                           and 
                          <link anchor="a693065" href="w-013-3757" style="ACTLinkPLCtoPLC">
                            <ital>Processor</ital>
                          </link>
                          ). For more information on the new regime for processors, see 
                          <link anchor="a365417" href="w-013-3757" style="ACTLinkPLCtoPLC">
                            <ital>Practice note: overview, Overview of GDPR: UK perspective: Changes in relation to processors</ital>
                          </link>
                          .
                        </paratext>
                      </para>
                    </division>
                    <division id="a258810" level="2">
                      <head align="left" preservecase="true">
                        <headtext>Key obligations under E-Privacy Regulations</headtext>
                      </head>
                      <para>
                        <paratext>
                          The 
                          <link href="https://uk.practicallaw.thomsonreuters.com/Document/I6AF2B450E42311DAA7CF8F68F6EE57AB/View/FullText.html?navId=E56699DB3D363B88D5471EE24BC98EDD&amp;amp;comp=pluk&amp;amp;transitionType=Default&amp;amp;contextData=(sc.Default)" style="ACTLinkURL">
                            <ital>E-Privacy Regulations</ital>
                          </link>
                           impose general requirements concerning direct marketing consents and industry-specific (mainly telecommunications companies and internet service providers) data breach requirements. For further information, see 
                          <link anchor="a321955" href="w-013-3757" style="ACTLinkPLCtoPLC">
                            <ital>Practice notes, Overview of GDPR: UK perspective: Direct marketing and draft E-Privacy Regulation</ital>
                          </link>
                           and 
                          <link href="w-014-7457" style="ACTLinkPLCtoPLC">
                            <ital>Direct marketing and data protection: consent and preference services (GDPR, DPA 2018 and PECR) (UK)</ital>
                          </link>
                          .
                        </paratext>
                      </para>
                    </division>
                    <division id="a940218" level="2">
                      <head align="left" preservecase="true">
                        <headtext>Negotiating and drafting issues</headtext>
                      </head>
                      <para>
                        <paratext>
                          This warranty is widely drawn, and captures all non-compliance whenever it occurred (whether historic or continuing), and irrespective of the nature or severity of the breach. Investors do have a legitimate interest in a warranty of this type (see 
                          <internal.reference refid="a425123">Drafting note, Limited scope of data protection warranties</internal.reference>
                          ). Warrantors should however be cautious about accepting such a widely drawn warranty, and have regard to the following issues in particular:
                        </paratext>
                      </para>
                      <list type="bulleted">
                        <list.item>
                          <para>
                            <paratext>As the data protection principles under both the DPA 1998 and the GDPR are wide-ranging and broadly stated, it will be difficult for the warrantors to be certain that no infringement has occurred. They may therefore want to consider trying to narrow the scope of the warranty by, for example:</paratext>
                          </para>
                          <list type="bulleted">
                            <list.item>
                              <para>
                                <paratext>recasting the warranty as a statement that a warrantor has received no notice alleging any breach of applicable data protection legislation;</paratext>
                              </para>
                            </list.item>
                            <list.item>
                              <para>
                                <paratext>qualifying the warranty by reference to the warrantors' knowledge (e.g. "so far as the warrantors are aware");</paratext>
                              </para>
                            </list.item>
                            <list.item>
                              <para>
                                <paratext>limiting the extent to which the warranty captures past conduct by confining the backward-looking element to a specified period of time (for example, the 3 to 6 year period immediately preceding the date of the agreement); and/or</paratext>
                              </para>
                            </list.item>
                            <list.item>
                              <para>
                                <paratext>adding a materiality qualification.</paratext>
                              </para>
                            </list.item>
                          </list>
                        </list.item>
                      </list>
                      <list type="bulleted">
                        <list.item>
                          <para>
                            <paratext>
                              If the agreement includes a warranty dealing with compliance with laws generally (see, for example, 
                              <internal.reference refid="a181235">paragraph 15</internal.reference>
                               of Schedule 5), this is also likely to capture breaches of data protection legislation. The warrantors may therefore argue that it is not necessary to include a separate warranty to address data protection compliance. If both warranties are included, the warrantors will need to take care to ensure that the negotiated position in relation to this warranty is not undermined by the terms of the general compliance warranty. This risk could be minimised by requiring the data protection warranties to be "boxed" or "ring-fenced", thereby avoiding any conflict between the terms of those specific warranties and paragraph 15.
                            </paratext>
                          </para>
                        </list.item>
                      </list>
                      <para>
                        <paratext>
                          If the warrantors try to negotiate a materiality qualification to the warranty, the investor should ensure that this is judged by its effect on the target business as a whole. In some contexts, an otherwise fairly minor or technical breach of law may be capable of having significant consequences. The investor should also carefully consider any proposed materiality qualification in the context of any limitations of liability that apply to the warranties generally (see 
                          <internal.reference refid="a448177">clause 5</internal.reference>
                          ). For example, a materiality qualification may be inappropriate if the agreement contains an individual 
                          <ital>de minimis</ital>
                           limit as arguably, this already filters any minor matters.
                        </paratext>
                      </para>
                    </division>
                  </division>
                </drafting.note>
              </subclause1>
              <subclause1 id="a551527">
                <identifier>11.2</identifier>
                <para>
                  <paratext>Neither the Company nor any third party or parties appointed by the Company to process Personal Data has in relation to the business of the Company[, in the period of [NUMBER] years preceding the date of this agreement,] suffered any breach of security leading to the accidental or unlawful destruction, loss, alteration, unauthorised disclosure of, or access to any Personal Data[, and each of the Company and the Processors has passed all regulatory audits to which they have been subject].</paratext>
                </para>
                <drafting.note id="a943691" jurisdiction="">
                  <head align="left" preservecase="true">
                    <headtext>Data security breaches</headtext>
                  </head>
                  <division id="a000054" level="1">
                    <para>
                      <paratext>This warranty seeks to prompt disclosure of any personal data security breaches suffered by the company or its processors in relation to the target business. This is an important issue for an investor as security breaches resulting from non-compliance with applicable data protection legislation could form the basis of claims for compensation from each affected data subject and result in substantial fines and reputational damage. A poor personal data security record may also be indicative of systemic inadequacies in the company's technical and organisational measures to ensure data security.</paratext>
                    </para>
                    <para>
                      <paratext>For general information on data security breaches and the GDPR, see Practice notes:</paratext>
                    </para>
                    <list type="bulleted">
                      <list.item>
                        <para>
                          <paratext>
                            <link anchor="a721481" href="w-007-9580" style="ACTLinkPLCtoPLC">
                              <ital>Overview of EU General Data Protection Regulation: Data security breach</ital>
                            </link>
                            .
                          </paratext>
                        </para>
                      </list.item>
                      <list.item>
                        <para>
                          <paratext>
                            <link href="w-013-5105" style="ACTLinkPLCtoPLC">
                              <ital>Data breach notification under the GDPR</ital>
                            </link>
                            .
                          </paratext>
                        </para>
                      </list.item>
                    </list>
                    <division id="a668833" level="2">
                      <head align="left" preservecase="true">
                        <headtext>Negotiating and drafting issues</headtext>
                      </head>
                      <para>
                        <paratext>
                          Financial investors do have a legitimate interest in a warranty of this type (see 
                          <internal.reference refid="a425123">Drafting note, Limited scope of data protection warranties</internal.reference>
                          ). Warrantors should however be cautious about accepting such a widely drawn warranty, and have regard to the following issues in particular
                        </paratext>
                      </para>
                      <para>
                        <paratext>When acting for the warrantors, consider seeking to limit this warranty to a particular period of time (such as the three to six year period before the date of the agreement) by including the optional wording in the square brackets.</paratext>
                      </para>
                      <para>
                        <paratext>As drafted, the warranty relates to all undisclosed data security breaches that pre-date the agreement regardless of whether a warrantor is aware that the breach has occurred. The warrantors should therefore consider seeking to qualify the warranty by awareness.</paratext>
                      </para>
                      <para>
                        <paratext>The warrantors may also want to consider trying to limit the warranty to material breaches, or breaches that are notifiable to the ICO or another supervisory authority. However, an investor should resist this.</paratext>
                      </para>
                      <para>
                        <paratext>
                          The GDPR introduced new personal data breach notification provisions that impose a mandatory requirement on data controllers to notify security breaches involving personal data to their relevant supervisory authority within 72 hours if the breach is likely to result in a risk to individuals' rights and freedoms (
                          <ital>Article 33(1)</ital>
                          ). In some circumstances, they may also have to inform those individuals whose personal data is affected (
                          <ital>Article 34(1)</ital>
                          ). Therefore, if the warrantors disclose any personal data breaches occurring after the GDPR entered into force, the investor may want to consider including a further warranty to establish whether the company has complied with its obligation under the new notification regime. For further information on these obligations, see 
                          <link href="w-013-5105" style="ACTLinkPLCtoPLC">
                            <ital>Practice note, Data breach notification under the GDPR</ital>
                          </link>
                          .
                        </paratext>
                      </para>
                    </division>
                  </division>
                </drafting.note>
              </subclause1>
              <subclause1 id="a173702">
                <identifier>11.3</identifier>
                <para>
                  <paratext>The Company has not[, in the period of [INSERT] preceding the date of this agreement,] received any:</paratext>
                </para>
                <subclause2 id="a199388">
                  <identifier>(a)</identifier>
                  <para>
                    <paratext>notice, request, correspondence or other communication from any Supervisory Authority, or been subject to any enforcement action (including any fines or other sanctions), in each case in connection with a breach or alleged breach of its obligations under the Data Protection Legislation; or</paratext>
                  </para>
                </subclause2>
                <subclause2 id="a580577">
                  <identifier>(b)</identifier>
                  <para>
                    <paratext>claim, complaint, correspondence or other communication from a data subject or any other person claiming a right to compensation under the Data Protection Legislation, or alleging any breach of the Data Protection Legislation,</paratext>
                  </para>
                </subclause2>
              </subclause1>
              <subclause1 id="a625423">
                <identifier>11.4</identifier>
                <para>
                  <paratext>and[, so far as the Warrantors are is aware,] there is no fact or circumstance that may lead to any such notice, request, correspondence, communication, claim, complaint or enforcement action.</paratext>
                </para>
                <drafting.note id="a394247" jurisdiction="">
                  <head align="left" preservecase="true">
                    <headtext>Enforcement action and claims for data protection breaches</headtext>
                  </head>
                  <division id="a000055" level="1">
                    <para>
                      <paratext>This warranty relates to the company's history of data protection investigations, enforcement action and claims by data subjects. For general background in this area, see Practice notes:</paratext>
                    </para>
                    <list type="bulleted">
                      <list.item>
                        <para>
                          <paratext>
                            <link anchor="a915820" href="w-013-3757" style="ACTLinkPLCtoPLC">
                              <ital>Overview of GDPR: UK perspective: Enforcement, sanctions and remedies</ital>
                            </link>
                            .
                          </paratext>
                        </para>
                      </list.item>
                      <list.item>
                        <para>
                          <paratext>
                            <link href="2-624-5547" style="ACTLinkPLCtoPLC">
                              <ital>EU General Data Protection Regulation noter-up: enforcement, sanctions and remedies</ital>
                            </link>
                            .
                          </paratext>
                        </para>
                      </list.item>
                    </list>
                    <division id="a707924" level="2">
                      <head align="left" preservecase="true">
                        <headtext>Negotiating and drafting issues</headtext>
                      </head>
                      <list type="bulleted">
                        <list.item>
                          <para>
                            <paratext>When acting for the warrantors, consider seeking to limit this warranty to a particular period of time, such as the three to six year period before the date of the agreement.</paratext>
                          </para>
                        </list.item>
                        <list.item>
                          <para>
                            <paratext>As drafted, the warranty covers action and claims that pre-date the agreement regardless of whether a warrantor is aware that the breach has occurred. The warrantors should therefore consider seeking to qualify the warranty by awareness.</paratext>
                          </para>
                        </list.item>
                      </list>
                      <para>
                        <paratext>
                          There is the potential for overlap between this warranty and any general warranties concerning litigation and compliance with laws (see, for example, 
                          <internal.reference refid="a181235">paragraph 15</internal.reference>
                           of Schedule 5). The warrantors may therefore argue that it is not necessary to include a separate warranty to address claims for breach of data protection legislation. If this warranty is included in addition to any such general warranties, the warrantors will need to take care to ensure that the negotiated position in relation to this warranty is not undermined by the terms of the overlapping general warranties. This risk could be minimised by requiring the data protection warranties to be "boxed" or "ring-fenced", thereby avoiding any conflict between the terms of those specific warranties and paragraph 15.
                        </paratext>
                      </para>
                    </division>
                  </division>
                </drafting.note>
              </subclause1>
              <subclause1 id="a321562">
                <identifier>11.5</identifier>
                <para>
                  <paratext>
                    The Company has undertaken appropriate due diligence of any processors that it has appointed to process Personal Data (
                    <bold>Processors</bold>
                    ) and, in relation to any agreements with Processors, such agreements contain appropriate terms, including without limitation the mandatory terms that are prescribed by Article 28 of the GDPR.
                  </paratext>
                </para>
                <drafting.note id="a556835" jurisdiction="">
                  <head align="left" preservecase="true">
                    <headtext>Relationships with data processors</headtext>
                  </head>
                  <division id="a000056" level="1">
                    <para>
                      <paratext>
                        As under the DPA 1998, a data processor is a natural or legal person that processes personal data on behalf of the data controller (
                        <ital>Article 4(8), GDPR</ital>
                        ).
                      </paratext>
                    </para>
                    <para>
                      <paratext>Article 28 of the GDPR introduces new obligations and requirements for engaging data processors, including that:</paratext>
                    </para>
                    <para>
                      <paratext>
                        Data controllers may only use processors who can provide sufficient guarantees that they have implemented appropriate technical and organisational measures to protect personal data in accordance with the requirements of the GDPR (
                        <ital>Article 28(1)</ital>
                        ).
                      </paratext>
                    </para>
                    <list type="bulleted">
                      <list.item>
                        <para>
                          <paratext>
                            Data processor relationships must be governed by a contract which includes, as a minimum, certain compulsory terms (
                            <ital>Article 28(3)</ital>
                            ).
                          </paratext>
                        </para>
                      </list.item>
                    </list>
                    <para>
                      <paratext>The warranties in this paragraph therefore seek to confirm that the company has complied with the requirements of the new data processor regime.</paratext>
                    </para>
                    <para>
                      <paratext>For further information on relationships with data processors, see Practice notes:</paratext>
                    </para>
                    <list type="bulleted">
                      <list.item>
                        <para>
                          <paratext>
                            <link anchor="co_anchor_a365417" href="https://uk.practicallaw.thomsonreuters.com/w-013-3757?originationContext=document&amp;amp;transitionType=DocumentItem&amp;amp;contextData=(sc.Default)" style="ACTLinkURL">
                              <ital>Overview of EU General Data Protection Regulation: UK perspective: Changes in relation to data processors</ital>
                            </link>
                            .
                          </paratext>
                        </para>
                      </list.item>
                      <list.item>
                        <para>
                          <paratext>
                            <link anchor="co_anchor_a000063" href="https://uk.practicallaw.thomsonreuters.com/w-005-6153?originationContext=document&amp;amp;transitionType=DocumentItem&amp;amp;contextData=(sc.Default)" style="ACTLinkURL">
                              <ital>Data processor obligations under the GDPR: Data processor contractual requirements</ital>
                            </link>
                            .
                          </paratext>
                        </para>
                      </list.item>
                    </list>
                    <division id="a138814" level="2">
                      <head align="left" preservecase="true">
                        <headtext>Data processor due diligence</headtext>
                      </head>
                      <para>
                        <paratext>
                          The GDPR drives compliance down the supply chain. Data controllers are responsible for the processing activities of their data processors and any sub-processors that they permit. The GDPR also provides that data controllers must only appoint processors who can provide sufficient guarantees that the GDPR's requirements will be met and the rights of data subjects protected (
                          <ital>Article 28(1)</ital>
                          ). It is therefore important for the investor to establish that the company has carried appropriate due diligence on its data processors.
                        </paratext>
                      </para>
                      <para>
                        <paratext>
                          For further information on the GDPR requirements concerning the engagement of data processors, see 
                          <link anchor="co_anchor_a000033" href="https://uk.practicallaw.thomsonreuters.com/w-005-2644?originationContext=document&amp;amp;transitionType=DocumentItem&amp;amp;contextData=(sc.Default)" style="ACTLinkURL">
                            <ital>Practice note, Demonstrating compliance with the GDPR: Data processors</ital>
                          </link>
                           and 
                          <link anchor="co_anchor_a000034" href="https://uk.practicallaw.thomsonreuters.com/w-005-2644?originationContext=document&amp;amp;transitionType=DocumentItem&amp;amp;contextData=(sc.Default)" style="ACTLinkURL">
                            <ital>Implement procedures for engaging data processors</ital>
                          </link>
                          .
                        </paratext>
                      </para>
                    </division>
                    <division id="a124608" level="2">
                      <head align="left" preservecase="true">
                        <headtext>Negotiating and drafting issues</headtext>
                      </head>
                      <para>
                        <paratext>The warranties in this paragraph will be relevant if the company has engaged data processors. Alternatively, this paragraph could be amended to state that:</paratext>
                      </para>
                      <display.quote>
                        <para>
                          <paratext>"The Company has not engaged a third party to process Personal Data on its behalf."</paratext>
                        </para>
                      </display.quote>
                      <para>
                        <paratext>If this approach is taken, any references to "Processors" elsewhere in these warranties should be deleted.</paratext>
                      </para>
                    </division>
                  </division>
                </drafting.note>
              </subclause1>
            </clause>
            <clause id="a664612">
              <identifier>12.</identifier>
              <head align="left" preservecase="true">
                <headtext>Assets, debts and stock</headtext>
              </head>
              <subclause1 id="a818714">
                <identifier>12.1</identifier>
                <para>
                  <paratext>None of the book debts included in the Accounts [, the Management Accounts] or which have subsequently arisen have been outstanding for more than [NUMBER] months from their due dates for payment, and all such debts have realised or will realise in the normal course of collection their full value save as provided in the Accounts [, the Management Accounts] or in the books of the Company.</paratext>
                </para>
              </subclause1>
              <subclause1 id="a358090">
                <identifier>12.2</identifier>
                <para>
                  <paratext>The Company has not granted any security or Encumbrance over any part of its undertaking or assets.</paratext>
                </para>
              </subclause1>
              <subclause1 id="a146060">
                <identifier>12.3</identifier>
                <para>
                  <paratext>All assets used by, and all debts due to, the Company or which have otherwise been represented as being its property or due to it or used or held for the purposes of its business are at the date of Completion its absolute property and none is the subject of any Encumbrance (except in respect of liens arising in the normal course of trading) or the subject of any factoring arrangement, hire-purchase, retention of title, conditional sale or credit sale agreement.</paratext>
                </para>
              </subclause1>
              <subclause1 id="a600757">
                <identifier>12.4</identifier>
                <para>
                  <paratext>The present stock and work-in-progress of the Company is in good condition and is (or will be once completed) capable of being sold profitably.</paratext>
                </para>
              </subclause1>
              <subclause1 id="a644370">
                <identifier>12.5</identifier>
                <para>
                  <paratext>Each asset needed for the proper conduct of the business of the Company is in good repair and working order (fair wear and tear excepted).</paratext>
                </para>
              </subclause1>
            </clause>
            <clause id="a318892">
              <identifier>13.</identifier>
              <head align="left" preservecase="true">
                <headtext>Contracts with connected persons</headtext>
              </head>
              <subclause1 id="a385493">
                <identifier>13.1</identifier>
                <para>
                  <paratext>There are no loans made by the Company to any of its directors or shareholders and/or any person connected with any of them and no debts or liabilities owing by the Company to any of its directors or shareholders and/or any person connected with them as aforesaid.</paratext>
                </para>
              </subclause1>
              <subclause1 id="a542547">
                <identifier>13.2</identifier>
                <para>
                  <paratext>There are no existing contracts or arrangements to which the Company is a party and in which any of its directors or shareholders (and/or any person connected with any of them) is interested.</paratext>
                </para>
              </subclause1>
            </clause>
            <clause id="a827351">
              <identifier>14.</identifier>
              <head align="left" preservecase="true">
                <headtext>Employment arrangements</headtext>
              </head>
              <subclause1 id="a326825">
                <identifier>14.1</identifier>
                <para>
                  <paratext>Full details of all contracts of service or for services and other arrangements (including, without limitation, details of notice periods and all remuneration) of all officers, employees and consultants of the Company are set out in (or copies thereof included in the Disclosure Bundle).</paratext>
                </para>
              </subclause1>
              <subclause1 id="a293705">
                <identifier>14.2</identifier>
                <para>
                  <paratext>There are no agreements or other arrangements (binding or otherwise) or outstanding or anticipated claims or disputes between the Company and any trade union or other body representing all or any of the employees of the Company.</paratext>
                </para>
              </subclause1>
              <subclause1 id="a377008">
                <identifier>14.3</identifier>
                <para>
                  <paratext>The Company does not owe any amount to, nor does it have any outstanding obligations in respect of, any of its present or former directors, employees or shareholders other than remuneration accrued during the month in which this agreement has been entered into.</paratext>
                </para>
              </subclause1>
              <subclause1 id="a627602">
                <identifier>14.4</identifier>
                <para>
                  <paratext>No gratuitous payment has been made or promised in connection with the actual or proposed termination or suspension of employment or variation of any contract of employment of any present or former director or employee of the Company.</paratext>
                </para>
              </subclause1>
              <subclause1 id="a770179">
                <identifier>14.5</identifier>
                <para>
                  <paratext>There are no agreements or arrangements (whether legally enforceable or not) for the payment of any pensions, allowances, lump sums or other similar benefits on redundancy, retirement or on death or during periods of sickness or disablement for the benefit of any director or former director or employee or former employee of the Company or for the benefit of the dependants of any such person.</paratext>
                </para>
              </subclause1>
            </clause>
            <clause id="a181235">
              <identifier>15.</identifier>
              <head align="left" preservecase="true">
                <headtext>Statutory and legal requirements</headtext>
              </head>
              <subclause1 id="a656935">
                <identifier>15.1</identifier>
                <para>
                  <paratext>All statutory, municipal, governmental, court and other requirements applicable to the carrying on of the business of the Company, the formation, continuance in existence, creation and issue of securities, management, property or operation of the Company have been complied with, and all permits, authorities, licences and consents have been obtained and all conditions applicable to it complied with and, so far as the Warrantors are aware, there are no circumstances which might lead to the suspension, alteration or cancellation of any such permits, authorities, licences or consents, nor is there any agreement which materially restricts the fields within which the Company may carry on its business.</paratext>
                </para>
              </subclause1>
              <subclause1 id="a995821">
                <identifier>15.2</identifier>
                <para>
                  <paratext>The Company has not committed, and is not liable for, any criminal, illegal, unlawful, ultra vires or unauthorised act or breach of covenant, contract or statutory duty and, so far as the Warrantors are aware, no officer or senior manager of the Company has committed any crime other than minor traffic offences.</paratext>
                </para>
              </subclause1>
              <subclause1 id="a308468">
                <identifier>15.3</identifier>
                <para>
                  <paratext>No person, not being a director of the Company, has any actual or ostensible authority, whether under a power of attorney, agency agreement or otherwise, to commit the Company to any obligation other than an obligation of a nature which it is usual for it to incur in the ordinary course of its business.</paratext>
                </para>
              </subclause1>
            </clause>
            <clause id="a600472">
              <identifier>16.</identifier>
              <head align="left" preservecase="true">
                <headtext>Records and registers</headtext>
              </head>
              <subclause1 id="a717996">
                <identifier>16.1</identifier>
                <para>
                  <paratext>The records (including computer records), statutory books, registers, minute books and books of account of the Company are duly entered up and maintained in accordance with all legal requirements applicable thereto and contain true, full and accurate records of all matters required to be dealt with in them and all such books and all records and documents (including documents of title) which are the Company's property are in its possession or under its control.</paratext>
                </para>
                <drafting.note id="a655022" jurisdiction="">
                  <head align="left" preservecase="true">
                    <headtext>Company records</headtext>
                  </head>
                  <division id="a000057" level="1">
                    <para>
                      <paratext>Investors will want to ensure that the statutory registers of the company are duly written up to the time immediately before completion. In practice, the investor's solicitors should arrange to inspect the company's statutory registers before completion to ensure that they are properly written up.</paratext>
                    </para>
                    <para>
                      <paratext>
                        For further information regarding the obligation to maintain statutory books, see 
                        <link href="http://uk.practicallaw.com/4-500-1554" style="ACTLinkURL">
                          <ital>Practice note, Company records</ital>
                        </link>
                        .
                      </paratext>
                    </para>
                    <para>
                      <paratext>
                        Section 790M of the CA 2006 requires all companies within scope (including all UK-incorporated private companies and many public companies) to produce, keep and maintain a separate register (PSC register) of individuals and certain legal entities with significant control over them. The PSC register constitutes a company record under 
                        <link href="http://uk.practicallaw.com/7-506-8487?pit=" style="ACTLinkURL">
                          <ital>section 1134</ital>
                        </link>
                         of the CA 2006. Failure to comply with the PSC regime (including section 790M) will generally result in criminal liability for both the company and each of its officer in default. Investors will therefore be keen to ensure that the company has complied with its obligations under the PSC regime (see 
                        <link anchor="co_anchor_a885366" href="https://uk.practicallaw.thomsonreuters.com/7-625-2125?__lrTS=20171116155246458&amp;amp;transitionType=Default&amp;amp;contextData=(sc.Default)" style="ACTLinkURL">
                          <ital>Practice note, PSC register: completing the register: Offences under the PSC regime</ital>
                        </link>
                        ).
                      </paratext>
                    </para>
                    <para>
                      <paratext>For general information on the PSC regime and its scope:</paratext>
                    </para>
                    <list type="bulleted">
                      <list.item>
                        <para>
                          <paratext>
                            <link href="http://uk.practicallaw.com/7-625-2125" style="ACTLinkURL">
                              <ital>Practice note, PSC register: completing the register</ital>
                            </link>
                            .
                          </paratext>
                        </para>
                      </list.item>
                      <list.item>
                        <para>
                          <paratext>
                            <link href="http://uk.practicallaw.com/9-624-0527" style="ACTLinkURL">
                              <ital>Practice note, PSC register: identifying people with significant control</ital>
                            </link>
                            .
                          </paratext>
                        </para>
                      </list.item>
                    </list>
                  </division>
                </drafting.note>
              </subclause1>
              <subclause1 condition="optional" id="a844557">
                <identifier>16.2</identifier>
                <para>
                  <paratext>The Warrantors are not aware of any outstanding matter required to be entered in any of the records, statutory books, registers[, minute books and books of account] of the Company which has not been so entered at the date of this agreement.</paratext>
                </para>
                <drafting.note id="a482192" jurisdiction="">
                  <head align="left" preservecase="true">
                    <headtext>Unregistered matters</headtext>
                  </head>
                  <division id="a000058" level="1">
                    <para>
                      <paratext>
                        While 
                        <internal.reference refid="a717996">paragraph 16.1</internal.reference>
                         seeks confirmation that the company's records contain true, full and accurate records of all matters required to be dealt with therein, it is arguable that this would not require disclosure of an entry that has yet to be made, if the company is not in breach of an obligation to make that entry within a certain period. For example, the PSC regime requires a company to make certain entries in its PSC register on the occurrence of specified events, but no time period is specified for doing so. Optional 
                        <internal.reference refid="a844557">paragraph 16.2</internal.reference>
                         aims to capture any such outstanding matters that the warrantors are aware must be made, but which have not yet been completed.
                      </paratext>
                    </para>
                  </division>
                </drafting.note>
              </subclause1>
              <subclause1 id="a601282">
                <identifier>16.3</identifier>
                <para>
                  <paratext>All accounts, documents and returns required to be delivered or made to the Registrar of Companies have been duly and correctly delivered or made. There has been no notice of any proceedings to rectify the register of members of the Company or the Company's PSC register and there are no circumstances which might lead to any application for rectification of the register of members or the PSC register.</paratext>
                </para>
              </subclause1>
              <subclause1 condition="optional" id="a126341">
                <identifier>16.4</identifier>
                <para>
                  <paratext>Save as set out in the Relevant Change Letters, no relevant change (as defined by section 790E(3) of the Act) will occur in relation to any registrable person in relation to the Company as a [direct] result of Completion.</paratext>
                </para>
                <drafting.note id="a708113" jurisdiction="">
                  <head align="left" preservecase="true">
                    <headtext>No changes to PSC register</headtext>
                  </head>
                  <division id="a000059" level="1">
                    <para>
                      <paratext>
                        Section 790E of the CA 2006 requires a company to update its PSC register after becoming aware of a relevant change (as defined in section 790E(3)). Under 
                        <internal.reference refid="a759280">paragraph 8</internal.reference>
                         of Schedule 3, the company must receive agreed form letters from existing PSCs or RLEs in relation to the company whose details in the PSC register will require removal or amendment as a result of completion.
                      </paratext>
                    </para>
                    <para>
                      <paratext>
                        <internal.reference refid="a126341">Paragraph 16.4</internal.reference>
                         seeks confirmation from the warrantors that no other relevant change will occur as a result of completion. The warrantors may seek to limit the warranty to provide that the company reasonably believes that completion will not trigger any other relevant change, to more closely match the wording of the legislation.
                      </paratext>
                    </para>
                  </division>
                </drafting.note>
              </subclause1>
              <subclause1 id="a590857">
                <identifier>16.5</identifier>
                <para>
                  <paratext>The Company has not made (or withdrawn) an election to keep information in its register of members, PSC register, register of directors, register of directors' residential addresses or register of secretaries on the central register at Companies House.</paratext>
                </para>
                <drafting.note id="a682402" jurisdiction="">
                  <head align="left" preservecase="true">
                    <headtext>Holding information on the central register</headtext>
                  </head>
                  <division id="a000060" level="1">
                    <para>
                      <paratext>Provisions introduced into the CA 2006 by the Small Business, Enterprise and Employment Act 2006 allow a private company to elect to keep information on the central register at Companies House, instead of entering it in the relevant register below:</paratext>
                    </para>
                    <para>
                      <paratext>
                        The register of members (
                        <ital>section 128B, CA 2006</ital>
                        ).
                      </paratext>
                    </para>
                    <para>
                      <paratext>
                        The PSC register (
                        <ital>section 790X, CA 2006</ital>
                        ).
                      </paratext>
                    </para>
                    <para>
                      <paratext>
                        Register of directors and register of directors' residential addresses (
                        <ital>section 167A, CA 2006</ital>
                        ).
                      </paratext>
                    </para>
                    <para>
                      <paratext>
                        Register of secretaries (
                        <ital>section 279A, CA 2006</ital>
                        ).
                      </paratext>
                    </para>
                    <para>
                      <paratext>Where such an election has been made, information that would otherwise have to be registered by the company must instead be filed with the Registrar, for inclusion on the central register. The company does not have to make entries in its own registers although, in the case of the register of members and the PSC register, the company must note the existence of the election and the date it took effect in its own register (then known as its historic register).</paratext>
                    </para>
                    <para>
                      <paratext>While, in each case, an election is made by giving notice of the relevant election to the Registrar, such an election does not take effect until registered by the Registrar. As such, it is possible that a search of the public register relating to the company would not reveal that an election has been made.</paratext>
                    </para>
                    <para>
                      <paratext>
                        If due diligence or draft disclosures reveal the existence of an election, it may be necessary also to include additional warranties relating to company obligations during the period such an election is in force (although, in many cases, those obligations will be covered by the general compliance warranties in 
                        <internal.reference refid="a181235">paragraph 15</internal.reference>
                        ).
                      </paratext>
                    </para>
                    <para>
                      <paratext>Once made, an election may be withdrawn by giving notice of withdrawal to the Registrar but, again, this would not take effect until registered by the Registrar. Once it takes effect, the company is once again subject to the requirements to maintain the relevant register itself, in accordance with the requirements of the CA 2006.</paratext>
                    </para>
                    <para>
                      <paratext>
                        For information on an election to hold PSC information on the central register, see 
                        <link anchor="co_anchor_a371872" href="https://uk.practicallaw.thomsonreuters.com/7-625-2125?__lrTS=20171116155246458&amp;amp;transitionType=Default&amp;amp;contextData=(sc.Default)" style="ACTLinkURL">
                          <ital>Practice note, PSC register: completing the register: Alternative method of keeping PSC information</ital>
                        </link>
                        .
                      </paratext>
                    </para>
                  </division>
                </drafting.note>
              </subclause1>
              <subclause1 id="a319989">
                <identifier>16.6</identifier>
                <para>
                  <paratext>The Company has not issued any warning notice [or restrictions notice] under Schedule 1B of the Act.</paratext>
                </para>
                <drafting.note id="a446432" jurisdiction="">
                  <head align="left" preservecase="true">
                    <headtext>PSC register: warning notices and restrictions notices</headtext>
                  </head>
                  <division id="a000061" level="1">
                    <para>
                      <paratext>
                        <internal.reference refid="a319989">Paragraph 16.6</internal.reference>
                         seeks to establish whether any warning or restrictions notices have been issued by the company under the PSC regime. For further information on such notices and the circumstances in which they can be issued, see 
                        <link anchor="co_anchor_a365236" href="https://uk.practicallaw.thomsonreuters.com/7-625-2125?__lrTS=20171116155246458&amp;amp;transitionType=Default&amp;amp;contextData=(sc.Default)" style="ACTLinkURL">
                          <ital>Practice note, PSC register: completing the register: Enforce the obligation to disclose</ital>
                        </link>
                        .
                      </paratext>
                    </para>
                    <para>
                      <paratext>A company is not required to issue a warning notice (which must precede the issue of a restrictions notice), but may do so if the recipient of a notice under section 790D of the CA 2006 has not responded to it within the required timeframe. Unlike a restrictions notice, a company's PSC register does not have to record the issue of a warning notice. As such, an Investor might be unlikely to learn of such an issue by inspecting the Company's PSC register.</paratext>
                    </para>
                    <para>
                      <paratext>
                        A restrictions notice effectively disenfranchises the recipient's interest in the issuing company, and prevents any dealings in that interest while the notice continues in force (for further information, see 
                        <link anchor="co_anchor_a478685" href="https://uk.practicallaw.thomsonreuters.com/7-625-2125?__lrTS=20171116155246458&amp;amp;transitionType=Default&amp;amp;contextData=(sc.Default)" style="ACTLinkURL">
                          <ital>Practice note, PSC register: completing the register: Effect of a restrictions notice</ital>
                        </link>
                        ). An investor may therefore consider it important to confirm that there are no outstanding restrictions notices in respect of the company's share capital, as such a notice could operate to prevent the transfer of the sale shares to the buyer.
                      </paratext>
                    </para>
                    <para>
                      <paratext>
                        The warrantors may resist inclusion of reference to restrictions notices in paragraph 16.6, on the basis that a company's PSC register is required to record the issue of such a notice (
                        <ital>regulation 17(2), The Register of People with Significant Control Regulations 2016 (SI 2016/339)</ital>
                        ). As such, if the company had issued a restrictions notice not yet recorded in its PSC register, that would require disclosure under 
                        <internal.reference refid="a844557">paragraph 16.2</internal.reference>
                        .
                      </paratext>
                    </para>
                    <para>
                      <paratext>
                        Where due diligence or draft disclosures reveal the existence of a restrictions notice, it may be necessary also to include additional warranties relating to conduct obligations or rights to apply for court orders during the period such restrictions are in place (although, in many cases, those obligations will be covered by the general compliance warranties in 
                        <internal.reference refid="a181235">paragraph 15</internal.reference>
                        ).
                      </paratext>
                    </para>
                  </division>
                </drafting.note>
              </subclause1>
            </clause>
            <clause id="a824232">
              <identifier>17.</identifier>
              <head align="left" preservecase="true">
                <headtext>Insurance</headtext>
              </head>
              <subclause1 id="a151582">
                <para>
                  <paratext>16.1The Disclosure Letter contains full and accurate details of all insurance policies held by the Company.  In respect of such insurances:</paratext>
                </para>
                <subclause2 id="a297371">
                  <identifier>(a)</identifier>
                  <para>
                    <paratext>all premiums have been duly paid to date;</paratext>
                  </para>
                </subclause2>
                <subclause2 id="a761811">
                  <identifier>(b)</identifier>
                  <para>
                    <paratext>all the policies are in full force and effect and are not voidable on account of any act, omission or non-disclosure on the part of the insured party, nor could they be declared null and void or as a consequence of which any claim might be rejected;  and</paratext>
                  </para>
                </subclause2>
                <subclause2 id="a441847">
                  <identifier>(c)</identifier>
                  <para>
                    <paratext>there are no circumstances which would or might give rise to any claim and no insurance claim is outstanding.</paratext>
                  </para>
                </subclause2>
              </subclause1>
            </clause>
            <clause id="a167033">
              <identifier>18.</identifier>
              <head align="left" preservecase="true">
                <headtext>Group Structure</headtext>
              </head>
              <subclause1 id="a360932">
                <identifier>18.1</identifier>
                <para>
                  <paratext>
                    [Other than the Subsidiaries, the 
                    <bold>OR </bold>
                    The] Company does not have any subsidiary companies, nor has it at any time been the holding company of any company or a member of or the beneficial owner of any shares, securities or any interest in any company or other person.
                  </paratext>
                </para>
              </subclause1>
              <subclause1 condition="optional" id="a478966">
                <identifier>18.2</identifier>
                <para>
                  <paratext>No person has the right (whether exercisable now or in the future and whether contingent or not) to call for the allotment, issue, sale, transfer or conversion of any shares or loan capital of the Company under option or any other agreement (including conversion rights and rights of pre-emption).</paratext>
                </para>
              </subclause1>
              <subclause1 id="a505987">
                <identifier>18.3</identifier>
                <para>
                  <paratext>The Company is not, in relation to any company [(other than a Subsidiary)], limited liability partnership or Societas Europaea registered in the United Kingdom, a registrable relevant legal entity (as defined in section 790C of the Act).</paratext>
                </para>
                <drafting.note id="a487442" jurisdiction="">
                  <head align="left" preservecase="true">
                    <headtext>PSC register: the Company as a registrable relevant legal entity</headtext>
                  </head>
                  <division id="a000062" level="1">
                    <para>
                      <paratext>Part 21A of the CA 2006 requires all companies within scope (including all UK-incorporated private limited companies, many public companies and all UK LLPs) to create, complete and maintain a new statutory PSC register of individuals (PSCs) or legal entities (RLEs) that have control over them. For general information on the PSC regime and its scope, see:</paratext>
                    </para>
                    <list type="bulleted">
                      <list.item>
                        <para>
                          <paratext>
                            <link href="http://uk.practicallaw.com/2-624-6207" style="ACTLinkURL">
                              <ital>PSC register: who must keep a PSC register: flowchart</ital>
                            </link>
                            <bold>.</bold>
                          </paratext>
                        </para>
                      </list.item>
                      <list.item>
                        <para>
                          <paratext>
                            <link href="http://uk.practicallaw.com/7-625-2125" style="ACTLinkURL">
                              <ital>Practice note, PSC register: completing the register</ital>
                            </link>
                            <bold>.</bold>
                          </paratext>
                        </para>
                      </list.item>
                      <list.item>
                        <para>
                          <paratext>
                            <link href="http://uk.practicallaw.com/9-624-0527" style="ACTLinkURL">
                              <ital>Practice note, PSC register: identifying people with significant control</ital>
                            </link>
                            <bold>.</bold>
                          </paratext>
                        </para>
                      </list.item>
                    </list>
                    <para>
                      <paratext>
                        While the obligation to create and maintain a PSC register lies with the company or LLP that is subject to Part 21A of the CA 2006, the legislation also imposes proactive disclosure obligations on those who are registrable individuals or legal entities in relation to the company or LLP (for further details, see 
                        <link anchor="co_anchor_a786061" href="https://uk.practicallaw.thomsonreuters.com/7-625-2125?__lrTS=20171116155246458&amp;amp;transitionType=Default&amp;amp;contextData=(sc.Default)" style="ACTLinkURL">
                          <ital>Practice note, PSC register: completing the register: PSC and RLE obligations</ital>
                        </link>
                        ).
                      </paratext>
                    </para>
                    <para>
                      <paratext>
                        <internal.reference refid="a505987">Paragraph 18.3</internal.reference>
                         requires the warrantors to disclose whether the company (or, by virtue of 
                        <internal.reference refid="a761891">clause 1.21</internal.reference>
                        , any other Group Company) is a registrable RLE in relation to any other company or LLP. For guidance on identifying registrable individuals and legal entities under the PSC regime, see 
                        <link href="http://uk.practicallaw.com/9-624-0527" style="ACTLinkURL">
                          <ital>Practice note, PSC register: identifying people with significant control</ital>
                        </link>
                         and 
                        <link href="http://uk.practicallaw.com/8-624-6209" style="ACTLinkURL">
                          <ital>PSC register: identifying people with significant control: flowchart</ital>
                        </link>
                        .
                      </paratext>
                    </para>
                    <para>
                      <paratext>
                        If the warrantors make a disclosure against this warranty, indicating that a member of the group is a registrable RLE for the purposes of the PSC regime, the investor may want to consider including specific warranties concerning the relevant company's compliance with its disclosure obligations under sections 790G and 790H of the CA 2006. Alternatively, the investor may be content to rely on the general compliance warranties in 
                        <internal.reference refid="a181235">paragraph 15</internal.reference>
                        .
                      </paratext>
                    </para>
                    <division id="a264775" level="2">
                      <head align="left" preservecase="true">
                        <headtext>Societas Europaea and Brexit</headtext>
                      </head>
                      <para>
                        <paratext>When the UK ceases to be an EU member state, it will no longer be a participant in the framework within which Societas Europaea (SEs) operate.</paratext>
                      </para>
                      <para>
                        <paratext>
                          Accordingly, from 
                          <link href="w-015-8342" style="ACTLinkPLCtoPLC">
                            <ital>Exit day</ital>
                          </link>
                           it will not be possible to form a new SE in the UK and any SE still registered in the UK on Exit day will automatically be converted into a United Kingdom Societas.
                        </paratext>
                      </para>
                      <para>
                        <paratext>
                          For further information, see 
                          <link anchor="a395886" href="9-385-1516" style="ACTLinkPLCtoPLC">
                            <ital>Practice note, European Companies (Societas Europaea): Brexit</ital>
                          </link>
                          .
                        </paratext>
                      </para>
                    </division>
                  </division>
                </drafting.note>
              </subclause1>
            </clause>
            <clause id="a654725">
              <identifier>19.</identifier>
              <head align="left" preservecase="true">
                <headtext>Agreements and capital commitments</headtext>
              </head>
              <subclause1 id="a108979">
                <identifier>19.1</identifier>
                <para>
                  <paratext>The Company:</paratext>
                </para>
                <subclause2 id="a216339">
                  <identifier>(a)</identifier>
                  <para>
                    <paratext>has no material capital commitments;</paratext>
                  </para>
                </subclause2>
                <subclause2 id="a442007">
                  <identifier>(b)</identifier>
                  <para>
                    <paratext>is not a party to any contract, arrangement or commitment (whether in respect of capital expenditure or otherwise) which is of an unusual, onerous or long-term nature or which involves or could involve a material obligation or liability;</paratext>
                  </para>
                </subclause2>
                <subclause2 id="a879995">
                  <identifier>(c)</identifier>
                  <para>
                    <paratext>has not become bound, and no person has become entitled (or with the giving of notice and/or the issue of a certificate and/or the passage of time or otherwise may become entitled), to require it to repay any loan capital or other debenture, redeemable preference share capital, borrowed money or grant made to it by any governmental or other authority or person prior to the stipulated due date;</paratext>
                  </para>
                </subclause2>
                <subclause2 id="a822379">
                  <identifier>(d)</identifier>
                  <para>
                    <paratext>is not a party to any agreement which is (or may become) terminable as a result of the entry into or completion of this agreement;</paratext>
                  </para>
                </subclause2>
                <subclause2 id="a952973">
                  <identifier>(e)</identifier>
                  <para>
                    <paratext>is not bound by any guarantee or contract of indemnity under which any liability or contingent liability is outstanding;</paratext>
                  </para>
                </subclause2>
                <subclause2 id="a855243">
                  <identifier>(f)</identifier>
                  <para>
                    <paratext>has not entered into any agreement which requires or may require, or confers any right to require, the sale (whether for cash or otherwise) or the transfer by it of any asset;</paratext>
                  </para>
                </subclause2>
                <subclause2 id="a313012">
                  <identifier>(g)</identifier>
                  <para>
                    <paratext>is not a party to any joint venture, consortium, partnership, unincorporated association or profit sharing arrangement or agreement;</paratext>
                  </para>
                </subclause2>
                <subclause2 id="a150989">
                  <identifier>(h)</identifier>
                  <para>
                    <paratext>is not a party to or enjoys the benefit of any agreement requiring registration or notification under or by virtue of any statute;  and</paratext>
                  </para>
                </subclause2>
                <subclause2 id="a325739">
                  <identifier>(i)</identifier>
                  <para>
                    <paratext>is not in default of any agreement or arrangement to which it is a party.</paratext>
                  </para>
                </subclause2>
              </subclause1>
              <subclause1 id="a348366">
                <identifier>19.2</identifier>
                <para>
                  <paratext>The Company has not been, and is not a party to, any contract or arrangements binding on it for the purchase or sale of property or the supply of goods or services at a price different to that reasonably obtainable on an arm's length basis.</paratext>
                </para>
              </subclause1>
            </clause>
            <clause id="a538341">
              <identifier>20.</identifier>
              <head align="left" preservecase="true">
                <headtext>Borrowings and facilities</headtext>
              </head>
              <subclause1 id="a406610">
                <para>
                  <paratext>Full details of all limits on the Company's bank overdraft facilities and all borrowings of the Company are set out in the Disclosure Letter and the Company is not in breach of any of their terms and none of such facilities or terms of borrowing will be terminated as a result of the entry into of this agreement.</paratext>
                </para>
              </subclause1>
            </clause>
            <clause id="a109589">
              <identifier>21.</identifier>
              <head align="left" preservecase="true">
                <headtext>Insolvency</headtext>
              </head>
              <subclause1 id="a974156">
                <identifier>21.1</identifier>
                <para>
                  <paratext>No step has been taken to initiate any process by or under which:</paratext>
                </para>
                <subclause2 id="a875896">
                  <identifier>(a)</identifier>
                  <para>
                    <paratext>the ability of the creditors of the Company [, or any of the Subsidiaries,] to take any action to enforce their debts is suspended, restricted or prevented; or</paratext>
                  </para>
                </subclause2>
                <subclause2 id="a544776">
                  <identifier>(b)</identifier>
                  <para>
                    <paratext>some or all of the creditors of the Company [or of any of the Subsidiaries] accept, by agreement or under a court order, an amount less than the sums owing to them in satisfaction of those sums with a view to preventing the dissolution of the Company [or any of the Subsidiaries]; or</paratext>
                  </para>
                </subclause2>
                <subclause2 id="a574415">
                  <identifier>(c)</identifier>
                  <para>
                    <paratext>a person is appointed to manage the affairs, business and assets of the Company [, or any of the Subsidiaries,] on behalf of the Company's [or any of the Subsidiaries'] creditors; or</paratext>
                  </para>
                </subclause2>
                <subclause2 id="a936256">
                  <identifier>(d)</identifier>
                  <para>
                    <paratext>the holder of a charge over the Company's assets [or over any of the Subsidiaries' assets] is appointed to control the business and assets of the Company [or any of the Subsidiaries].</paratext>
                  </para>
                </subclause2>
              </subclause1>
              <subclause1 id="a728034">
                <identifier>21.2</identifier>
                <para>
                  <paratext>In relation to the Company [and each of the Subsidiaries]:</paratext>
                </para>
                <subclause2 id="a703089">
                  <identifier>(a)</identifier>
                  <para>
                    <paratext>no administrator has been appointed;</paratext>
                  </para>
                </subclause2>
                <subclause2 id="a322558">
                  <identifier>(b)</identifier>
                  <para>
                    <paratext>no documents have been filed with the court for the appointment of an administrator; and</paratext>
                  </para>
                </subclause2>
                <subclause2 id="a480919">
                  <identifier>(c)</identifier>
                  <para>
                    <paratext>no notice of an intention to appoint an administrator has been given by the relevant company, its directors or by a qualifying floating charge holder (as defined in paragraph 14 of Schedule B1 to the Insolvency Act 1986).</paratext>
                  </para>
                </subclause2>
              </subclause1>
              <subclause1 id="a502592">
                <identifier>21.3</identifier>
                <para>
                  <paratext>No distress, execution or other process has been levied on an asset of the Company [or any of the Subsidiaries].</paratext>
                </para>
              </subclause1>
            </clause>
          </schedule>
          <schedule condition="optional" id="a242123">
            <identifier>Schedule 6</identifier>
            <head align="left" preservecase="true">
              <headtext>Properties</headtext>
            </head>
            <clause id="a000063">
              <para>
                <paratext>
                  <table frame="none" pgwide="1">
                    <tgroup cols="2">
                      <colspec colname="1" colnum="1" colwidth="50"/>
                      <colspec colname="2" colnum="2" colwidth="50"/>
                      <tbody>
                        <row>
                          <entry valign="top">
                            <para align="left">
                              <paratext>
                                <bold>Description of the Property </bold>
                              </paratext>
                            </para>
                          </entry>
                          <entry valign="top">
                            <para>
                              <paratext space="default"> </paratext>
                            </para>
                          </entry>
                        </row>
                        <row>
                          <entry valign="top">
                            <para align="left">
                              <paratext>
                                <bold>Owner </bold>
                              </paratext>
                            </para>
                          </entry>
                          <entry valign="top">
                            <para>
                              <paratext space="default"> </paratext>
                            </para>
                          </entry>
                        </row>
                        <row>
                          <entry valign="top">
                            <para align="left">
                              <paratext>
                                <bold>Registered/unregistered (and title number) </bold>
                              </paratext>
                            </para>
                          </entry>
                          <entry valign="top">
                            <para>
                              <paratext space="default"> </paratext>
                            </para>
                          </entry>
                        </row>
                        <row>
                          <entry valign="top">
                            <para align="left">
                              <paratext>
                                <bold>Occupier </bold>
                              </paratext>
                            </para>
                          </entry>
                          <entry valign="top">
                            <para>
                              <paratext space="default"> </paratext>
                            </para>
                          </entry>
                        </row>
                        <row>
                          <entry valign="top">
                            <para align="left">
                              <paratext>
                                <bold>Use </bold>
                              </paratext>
                            </para>
                          </entry>
                          <entry valign="top">
                            <para>
                              <paratext space="default"> </paratext>
                            </para>
                          </entry>
                        </row>
                        <row>
                          <entry valign="top">
                            <para>
                              <paratext space="default"> </paratext>
                            </para>
                          </entry>
                          <entry valign="top">
                            <para>
                              <paratext space="default"> </paratext>
                            </para>
                          </entry>
                        </row>
                      </tbody>
                    </tgroup>
                  </table>
                </paratext>
              </para>
            </clause>
          </schedule>
          <schedule id="a179636">
            <identifier>Schedule 7</identifier>
            <head align="left" preservecase="true">
              <headtext>Deed of adherence</headtext>
            </head>
          </schedule>
        </disclosure.schedule>
        <signature default="true" pagebreak="true" signaturemessage="no">
          <para>
            <paratext>
              <table frame="none" pgwide="1">
                <tgroup cols="3">
                  <colspec colname="1" colnum="1" colwidth="33"/>
                  <colspec colname="2" colnum="2" colwidth="33"/>
                  <colspec colname="3" colnum="3" colwidth="33"/>
                  <tbody>
                    <row>
                      <entry valign="top">
                        <para align="left">
                          <paratext>Signed by [NAME OF DIRECTOR]  for and on behalf of [NAME OF INVESTOR]</paratext>
                        </para>
                      </entry>
                      <entry valign="top">
                        <para>
                          <paratext space="default"> </paratext>
                        </para>
                      </entry>
                      <entry valign="top">
                        <para align="left">
                          <paratext>....................</paratext>
                        </para>
                        <para align="left">
                          <paratext>Director</paratext>
                        </para>
                      </entry>
                    </row>
                    <row>
                      <entry valign="top">
                        <para align="left">
                          <paratext>OR</paratext>
                        </para>
                      </entry>
                    </row>
                    <row>
                      <entry valign="top">
                        <para align="left">
                          <paratext>Signed by [NAME OF INVESTOR]</paratext>
                        </para>
                      </entry>
                      <entry valign="top">
                        <para>
                          <paratext space="default"> </paratext>
                        </para>
                      </entry>
                      <entry valign="top">
                        <para align="left">
                          <paratext>....................</paratext>
                        </para>
                      </entry>
                    </row>
                    <row>
                      <entry nameend="3" namest="1" valign="top">
                        <para>
                          <paratext space="default"> </paratext>
                        </para>
                      </entry>
                    </row>
                    <row>
                      <entry valign="top">
                        <para align="left">
                          <paratext>Signed by [NAME OF FOUNDERS]</paratext>
                        </para>
                      </entry>
                      <entry valign="top">
                        <para>
                          <paratext space="default"> </paratext>
                        </para>
                      </entry>
                      <entry valign="top">
                        <para align="left">
                          <paratext>....................</paratext>
                        </para>
                      </entry>
                    </row>
                    <row>
                      <entry valign="top">
                        <para>
                          <paratext space="default"> </paratext>
                        </para>
                      </entry>
                    </row>
                    <row>
                      <entry nameend="3" namest="1" valign="top">
                        <para>
                          <paratext space="default"> </paratext>
                        </para>
                      </entry>
                    </row>
                    <row>
                      <entry valign="top">
                        <para align="left">
                          <paratext>Signed by [NAME OF DIRECTOR]  for and on behalf of [NAME OF COMPANY]</paratext>
                        </para>
                      </entry>
                      <entry valign="top">
                        <para>
                          <paratext space="default"> </paratext>
                        </para>
                      </entry>
                      <entry valign="top">
                        <para align="left">
                          <paratext>....................</paratext>
                        </para>
                        <para align="left">
                          <paratext>Director</paratext>
                        </para>
                      </entry>
                    </row>
                    <row>
                      <entry valign="top">
                        <para>
                          <paratext space="default"> </paratext>
                        </para>
                      </entry>
                    </row>
                    <row>
                      <entry nameend="3" namest="1" valign="top">
                        <para>
                          <paratext space="default"> </paratext>
                        </para>
                      </entry>
                    </row>
                  </tbody>
                </tgroup>
              </table>
              <table frame="none" pgwide="1">
                <tgroup cols="3">
                  <colspec colname="1" colnum="1" colwidth="63"/>
                  <colspec colname="2" colnum="2" colwidth="4"/>
                  <colspec colname="3" colnum="3" colwidth="32"/>
                  <tbody>
                    <row>
                      <entry valign="top">
                        <para align="left">
                          <paratext>
                            Signed by [NAME OF 
                            <bold>Founders</bold>
                            ]
                          </paratext>
                        </para>
                      </entry>
                      <entry valign="top">
                        <para>
                          <paratext space="default"> </paratext>
                        </para>
                      </entry>
                      <entry valign="top">
                        <para align="left">
                          <paratext>……………….</paratext>
                        </para>
                        <para>
                          <paratext space="default"> </paratext>
                        </para>
                      </entry>
                    </row>
                    <row>
                      <entry valign="top">
                        <para align="left">
                          <paratext>
                            Signed by [NAME OF 
                            <bold>Founders</bold>
                            ]
                          </paratext>
                        </para>
                      </entry>
                      <entry valign="top">
                        <para>
                          <paratext space="default"> </paratext>
                        </para>
                      </entry>
                      <entry valign="top">
                        <para align="left">
                          <paratext>……………….</paratext>
                        </para>
                        <para>
                          <paratext space="default"> </paratext>
                        </para>
                      </entry>
                    </row>
                    <row>
                      <entry valign="top">
                        <para align="left">
                          <paratext>
                            Signed by [NAME OF 
                            <bold>Founders</bold>
                            ]
                          </paratext>
                        </para>
                      </entry>
                      <entry valign="top">
                        <para>
                          <paratext space="default"> </paratext>
                        </para>
                      </entry>
                      <entry valign="top">
                        <para align="left">
                          <paratext>……………….</paratext>
                        </para>
                        <para>
                          <paratext space="default"> </paratext>
                        </para>
                      </entry>
                    </row>
                  </tbody>
                </tgroup>
              </table>
            </paratext>
          </para>
        </signature>
      </body>
      <rev.history>
        <rev.item>
          <rev.title>Companies Act 2006</rev.title>
          <rev.date>20080403</rev.date>
          <rev.author>Click here to enter the Resource History Author</rev.author>
          <rev.body>
            <division id="a000001" level="1">
              <para>
                <paratext>We have amended the definition of subsidiary to refer to the relevant section of the Companies Act 2006 and we have also amended clause 3.2(d) to reflect section 270(1) of the 2006 Act (private companies are no longer required to have secretaries) which comes into force on 6 April 2008.</paratext>
              </para>
            </division>
          </rev.body>
        </rev.item>
      </rev.history>
    </standard.doc>
  </n-docbody>
</n-document>
</file>

<file path=customXml/item3.xml><?xml version="1.0" encoding="utf-8"?>
<cdm:cachedDataManifest xmlns:cdm="http://schemas.microsoft.com/2004/VisualStudio/Tools/Applications/CachedDataManifest.xsd" cdm:revision="1"/>
</file>

<file path=customXml/item4.xml><?xml version="1.0" encoding="utf-8"?>
<ns30: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2.xml><?xml version="1.0" encoding="utf-8"?>
<ds:datastoreItem xmlns:ds="http://schemas.openxmlformats.org/officeDocument/2006/customXml" ds:itemID="{DF7C6334-EB60-4759-8C62-E2EAF2BA4260}">
  <ds:schemaRefs>
    <ds:schemaRef ds:uri="http://www.w3.org/2001/XMLSchema"/>
  </ds:schemaRefs>
</ds:datastoreItem>
</file>

<file path=customXml/itemProps3.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4.xml><?xml version="1.0" encoding="utf-8"?>
<ds:datastoreItem xmlns:ds="http://schemas.openxmlformats.org/officeDocument/2006/customXml" ds:itemID="{8306A22E-4BC7-463E-854C-68AA63B91856}">
  <ds:schemaRefs>
    <ds:schemaRef ds:uri="http://schemas.openxmlformats.org/wordprocessingml/2006/main"/>
    <ds:schemaRef ds:uri="http://schemas.openxmlformats.org/officeDocument/2006/relationships"/>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5490</Words>
  <Characters>31296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participation agreement 25 July</vt:lpstr>
    </vt:vector>
  </TitlesOfParts>
  <Company/>
  <LinksUpToDate>false</LinksUpToDate>
  <CharactersWithSpaces>36713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agreement 25 July</dc:title>
  <dc:subject/>
  <dc:creator>Tilley, Jonathan A. (Legal)</dc:creator>
  <cp:keywords/>
  <dc:description/>
  <cp:lastModifiedBy>Sanjeet Manek</cp:lastModifiedBy>
  <cp:revision>2</cp:revision>
  <cp:lastPrinted>2019-07-19T13:30:00Z</cp:lastPrinted>
  <dcterms:created xsi:type="dcterms:W3CDTF">2019-07-29T12:26:00Z</dcterms:created>
  <dcterms:modified xsi:type="dcterms:W3CDTF">2019-07-29T12:26:00Z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06239.000001</vt:lpwstr>
  </property>
  <property fmtid="{D5CDD505-2E9C-101B-9397-08002B2CF9AE}" pid="3" name="EntityDescription">
    <vt:lpwstr>Investment Agreement</vt:lpwstr>
  </property>
  <property fmtid="{D5CDD505-2E9C-101B-9397-08002B2CF9AE}" pid="4" name="Corresp">
    <vt:lpwstr/>
  </property>
</Properties>
</file>