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40"/>
          <w:szCs w:val="40"/>
          <w:u w:val="none"/>
          <w:shd w:fill="auto" w:val="clear"/>
          <w:vertAlign w:val="baseline"/>
        </w:rPr>
      </w:pPr>
      <w:r w:rsidDel="00000000" w:rsidR="00000000" w:rsidRPr="00000000">
        <w:rPr>
          <w:rFonts w:ascii="Calibri" w:cs="Calibri" w:eastAsia="Calibri" w:hAnsi="Calibri"/>
          <w:b w:val="0"/>
          <w:i w:val="0"/>
          <w:smallCaps w:val="0"/>
          <w:strike w:val="0"/>
          <w:color w:val="6497b8"/>
          <w:sz w:val="40"/>
          <w:szCs w:val="40"/>
          <w:u w:val="none"/>
          <w:shd w:fill="auto" w:val="clear"/>
          <w:vertAlign w:val="baseline"/>
          <w:rtl w:val="0"/>
        </w:rPr>
        <w:t xml:space="preserve">LOAN SCHEDULE  </w:t>
      </w:r>
      <w:r w:rsidDel="00000000" w:rsidR="00000000" w:rsidRPr="00000000">
        <w:rPr>
          <w:rFonts w:ascii="Calibri" w:cs="Calibri" w:eastAsia="Calibri" w:hAnsi="Calibri"/>
          <w:b w:val="0"/>
          <w:i w:val="0"/>
          <w:smallCaps w:val="0"/>
          <w:strike w:val="0"/>
          <w:color w:val="6497b8"/>
          <w:sz w:val="28"/>
          <w:szCs w:val="28"/>
          <w:u w:val="none"/>
          <w:shd w:fill="auto" w:val="clear"/>
          <w:vertAlign w:val="baseline"/>
          <w:rtl w:val="0"/>
        </w:rPr>
        <w:t xml:space="preserve">Scheme name:</w:t>
      </w:r>
      <w:r w:rsidDel="00000000" w:rsidR="00000000" w:rsidRPr="00000000">
        <w:rPr>
          <w:rtl w:val="0"/>
        </w:rPr>
      </w:r>
    </w:p>
    <w:p w:rsidR="00000000" w:rsidDel="00000000" w:rsidP="00000000" w:rsidRDefault="00000000" w:rsidRPr="00000000" w14:paraId="0000000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4"/>
          <w:szCs w:val="24"/>
          <w:u w:val="none"/>
          <w:shd w:fill="auto" w:val="clear"/>
          <w:vertAlign w:val="baseline"/>
        </w:rPr>
      </w:pPr>
      <w:r w:rsidDel="00000000" w:rsidR="00000000" w:rsidRPr="00000000">
        <w:rPr>
          <w:rFonts w:ascii="Calibri" w:cs="Calibri" w:eastAsia="Calibri" w:hAnsi="Calibri"/>
          <w:b w:val="0"/>
          <w:i w:val="0"/>
          <w:smallCaps w:val="0"/>
          <w:strike w:val="0"/>
          <w:color w:val="6497b8"/>
          <w:sz w:val="24"/>
          <w:szCs w:val="24"/>
          <w:u w:val="none"/>
          <w:shd w:fill="auto" w:val="clear"/>
          <w:vertAlign w:val="baseline"/>
          <w:rtl w:val="0"/>
        </w:rPr>
        <w:t xml:space="preserve">IMPORTANT NOTES:</w:t>
      </w:r>
    </w:p>
    <w:p w:rsidR="00000000" w:rsidDel="00000000" w:rsidP="00000000" w:rsidRDefault="00000000" w:rsidRPr="00000000" w14:paraId="0000000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Fonts w:ascii="Calibri" w:cs="Calibri" w:eastAsia="Calibri" w:hAnsi="Calibri"/>
          <w:b w:val="0"/>
          <w:i w:val="0"/>
          <w:smallCaps w:val="0"/>
          <w:strike w:val="0"/>
          <w:color w:val="6497b8"/>
          <w:sz w:val="20"/>
          <w:szCs w:val="20"/>
          <w:u w:val="none"/>
          <w:shd w:fill="auto" w:val="clear"/>
          <w:vertAlign w:val="baseline"/>
          <w:rtl w:val="0"/>
        </w:rPr>
        <w:t xml:space="preserve">FAILURE TO ADHERE TO ONE OR MORE OF THE FIVE KEY TESTS WILL RESULT IN SERIOUS TAX CONSEQUENCES</w:t>
      </w:r>
    </w:p>
    <w:p w:rsidR="00000000" w:rsidDel="00000000" w:rsidP="00000000" w:rsidRDefault="00000000" w:rsidRPr="00000000" w14:paraId="0000000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Fonts w:ascii="Calibri" w:cs="Calibri" w:eastAsia="Calibri" w:hAnsi="Calibri"/>
          <w:b w:val="0"/>
          <w:i w:val="0"/>
          <w:smallCaps w:val="0"/>
          <w:strike w:val="0"/>
          <w:color w:val="6497b8"/>
          <w:sz w:val="20"/>
          <w:szCs w:val="20"/>
          <w:u w:val="none"/>
          <w:shd w:fill="auto" w:val="clear"/>
          <w:vertAlign w:val="baseline"/>
          <w:rtl w:val="0"/>
        </w:rPr>
        <w:t xml:space="preserve">Before funds can be released to the sponsoring and/or participating employer, the solicitor responsible for drafting the security agreement must confirm to SSAS Pensions Limited, in writing, that the terms of the security agreement meet the requirements of Section 179 Schedule 30 of the Finance Act 2004.</w:t>
      </w:r>
    </w:p>
    <w:p w:rsidR="00000000" w:rsidDel="00000000" w:rsidP="00000000" w:rsidRDefault="00000000" w:rsidRPr="00000000" w14:paraId="0000000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Fonts w:ascii="Calibri" w:cs="Calibri" w:eastAsia="Calibri" w:hAnsi="Calibri"/>
          <w:b w:val="0"/>
          <w:i w:val="0"/>
          <w:smallCaps w:val="0"/>
          <w:strike w:val="0"/>
          <w:color w:val="6497b8"/>
          <w:sz w:val="20"/>
          <w:szCs w:val="20"/>
          <w:u w:val="none"/>
          <w:shd w:fill="auto" w:val="clear"/>
          <w:vertAlign w:val="baseline"/>
          <w:rtl w:val="0"/>
        </w:rPr>
        <w:t xml:space="preserve">Loans to other connected parties (see Note 1 below) will result in serious tax consequences.</w:t>
      </w:r>
    </w:p>
    <w:p w:rsidR="00000000" w:rsidDel="00000000" w:rsidP="00000000" w:rsidRDefault="00000000" w:rsidRPr="00000000" w14:paraId="0000000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0A">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6497b8"/>
                <w:sz w:val="28"/>
                <w:szCs w:val="28"/>
                <w:u w:val="none"/>
                <w:shd w:fill="auto" w:val="clear"/>
                <w:vertAlign w:val="baseline"/>
                <w:rtl w:val="0"/>
              </w:rPr>
              <w:t xml:space="preserve">Documentation checklist</w:t>
            </w:r>
            <w:r w:rsidDel="00000000" w:rsidR="00000000" w:rsidRPr="00000000">
              <w:rPr>
                <w:rtl w:val="0"/>
              </w:rPr>
            </w:r>
          </w:p>
        </w:tc>
        <w:tc>
          <w:tcPr/>
          <w:p w:rsidR="00000000" w:rsidDel="00000000" w:rsidP="00000000" w:rsidRDefault="00000000" w:rsidRPr="00000000" w14:paraId="0000000B">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Executed copies of the following must be provided:</w:t>
            </w:r>
          </w:p>
          <w:p w:rsidR="00000000" w:rsidDel="00000000" w:rsidP="00000000" w:rsidRDefault="00000000" w:rsidRPr="00000000" w14:paraId="0000000C">
            <w:pPr>
              <w:keepNext w:val="0"/>
              <w:keepLines w:val="1"/>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Loan Application</w:t>
            </w:r>
          </w:p>
          <w:p w:rsidR="00000000" w:rsidDel="00000000" w:rsidP="00000000" w:rsidRDefault="00000000" w:rsidRPr="00000000" w14:paraId="0000000D">
            <w:pPr>
              <w:keepNext w:val="0"/>
              <w:keepLines w:val="1"/>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Charge (security)</w:t>
            </w:r>
          </w:p>
          <w:p w:rsidR="00000000" w:rsidDel="00000000" w:rsidP="00000000" w:rsidRDefault="00000000" w:rsidRPr="00000000" w14:paraId="0000000E">
            <w:pPr>
              <w:keepNext w:val="0"/>
              <w:keepLines w:val="1"/>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separate loan agreement</w:t>
            </w:r>
          </w:p>
          <w:p w:rsidR="00000000" w:rsidDel="00000000" w:rsidP="00000000" w:rsidRDefault="00000000" w:rsidRPr="00000000" w14:paraId="0000000F">
            <w:pPr>
              <w:keepNext w:val="0"/>
              <w:keepLines w:val="1"/>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Repayment schedule</w:t>
            </w:r>
          </w:p>
        </w:tc>
      </w:tr>
    </w:tbl>
    <w:p w:rsidR="00000000" w:rsidDel="00000000" w:rsidP="00000000" w:rsidRDefault="00000000" w:rsidRPr="00000000" w14:paraId="00000010">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0" w:before="0" w:line="240" w:lineRule="auto"/>
        <w:ind w:left="0" w:right="0" w:firstLine="0"/>
        <w:jc w:val="left"/>
        <w:rPr>
          <w:rFonts w:ascii="Calibri" w:cs="Calibri" w:eastAsia="Calibri" w:hAnsi="Calibri"/>
          <w:b w:val="0"/>
          <w:i w:val="0"/>
          <w:smallCaps w:val="0"/>
          <w:strike w:val="0"/>
          <w:color w:val="6497b8"/>
          <w:sz w:val="20"/>
          <w:szCs w:val="20"/>
          <w:u w:val="none"/>
          <w:shd w:fill="auto" w:val="clear"/>
          <w:vertAlign w:val="baseline"/>
        </w:rPr>
      </w:pPr>
      <w:r w:rsidDel="00000000" w:rsidR="00000000" w:rsidRPr="00000000">
        <w:rPr>
          <w:rtl w:val="0"/>
        </w:rPr>
      </w:r>
    </w:p>
    <w:tbl>
      <w:tblPr>
        <w:tblStyle w:val="Table2"/>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1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the name and address of the borrower</w:t>
            </w:r>
          </w:p>
        </w:tc>
        <w:tc>
          <w:tcPr/>
          <w:p w:rsidR="00000000" w:rsidDel="00000000" w:rsidP="00000000" w:rsidRDefault="00000000" w:rsidRPr="00000000" w14:paraId="00000012">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LUXE ESCAPES BRECHIN LTD a company incorporated in Scotland with Company number SC825238 and having its registered office at Coultra Steading, Nr The Gauldy, Newport on Tay, Fife</w:t>
            </w:r>
            <w:r w:rsidDel="00000000" w:rsidR="00000000" w:rsidRPr="00000000">
              <w:rPr>
                <w:rtl w:val="0"/>
              </w:rPr>
            </w:r>
          </w:p>
          <w:p w:rsidR="00000000" w:rsidDel="00000000" w:rsidP="00000000" w:rsidRDefault="00000000" w:rsidRPr="00000000" w14:paraId="00000014">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 borrower a connected party (see 1 below)?</w:t>
            </w:r>
          </w:p>
        </w:tc>
        <w:tc>
          <w:tcPr/>
          <w:p w:rsidR="00000000" w:rsidDel="00000000" w:rsidP="00000000" w:rsidRDefault="00000000" w:rsidRPr="00000000" w14:paraId="00000016">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No</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details of security</w:t>
            </w:r>
          </w:p>
          <w:p w:rsidR="00000000" w:rsidDel="00000000" w:rsidP="00000000" w:rsidRDefault="00000000" w:rsidRPr="00000000" w14:paraId="00000018">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A">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PG, Balbirnie Mill, Brechin, DD9 7PN - 510k (valuation report attached)</w:t>
            </w: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loan</w:t>
            </w:r>
          </w:p>
        </w:tc>
        <w:tc>
          <w:tcPr/>
          <w:p w:rsidR="00000000" w:rsidDel="00000000" w:rsidP="00000000" w:rsidRDefault="00000000" w:rsidRPr="00000000" w14:paraId="0000001C">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TBA, funds transferred to solicitor on 29.01.2025</w:t>
            </w:r>
            <w:r w:rsidDel="00000000" w:rsidR="00000000" w:rsidRPr="00000000">
              <w:rPr>
                <w:rtl w:val="0"/>
              </w:rPr>
            </w:r>
          </w:p>
        </w:tc>
      </w:tr>
      <w:tr>
        <w:trPr>
          <w:cantSplit w:val="0"/>
          <w:tblHeader w:val="0"/>
        </w:trPr>
        <w:tc>
          <w:tcPr/>
          <w:p w:rsidR="00000000" w:rsidDel="00000000" w:rsidP="00000000" w:rsidRDefault="00000000" w:rsidRPr="00000000" w14:paraId="0000001D">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Amount of loan</w:t>
            </w:r>
          </w:p>
        </w:tc>
        <w:tc>
          <w:tcPr/>
          <w:p w:rsidR="00000000" w:rsidDel="00000000" w:rsidP="00000000" w:rsidRDefault="00000000" w:rsidRPr="00000000" w14:paraId="0000001E">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£400,000</w:t>
            </w: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Rate of interest</w:t>
            </w:r>
          </w:p>
        </w:tc>
        <w:tc>
          <w:tcPr/>
          <w:p w:rsidR="00000000" w:rsidDel="00000000" w:rsidP="00000000" w:rsidRDefault="00000000" w:rsidRPr="00000000" w14:paraId="00000020">
            <w:pP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20% per annum</w:t>
            </w: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Repayment date</w:t>
            </w:r>
          </w:p>
        </w:tc>
        <w:tc>
          <w:tcPr/>
          <w:p w:rsidR="00000000" w:rsidDel="00000000" w:rsidP="00000000" w:rsidRDefault="00000000" w:rsidRPr="00000000" w14:paraId="00000022">
            <w:pP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in 24 months</w:t>
            </w: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Purpose of loan</w:t>
            </w:r>
          </w:p>
        </w:tc>
        <w:tc>
          <w:tcPr/>
          <w:p w:rsidR="00000000" w:rsidDel="00000000" w:rsidP="00000000" w:rsidRDefault="00000000" w:rsidRPr="00000000" w14:paraId="00000024">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2"/>
                <w:szCs w:val="22"/>
                <w:highlight w:val="white"/>
                <w:rtl w:val="0"/>
              </w:rPr>
              <w:t xml:space="preserve">property developing </w:t>
            </w:r>
            <w:r w:rsidDel="00000000" w:rsidR="00000000" w:rsidRPr="00000000">
              <w:rPr>
                <w:rtl w:val="0"/>
              </w:rPr>
            </w:r>
          </w:p>
        </w:tc>
      </w:tr>
    </w:tbl>
    <w:p w:rsidR="00000000" w:rsidDel="00000000" w:rsidP="00000000" w:rsidRDefault="00000000" w:rsidRPr="00000000" w14:paraId="00000025">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6497b8"/>
          <w:sz w:val="20"/>
          <w:szCs w:val="20"/>
        </w:rPr>
      </w:pPr>
      <w:r w:rsidDel="00000000" w:rsidR="00000000" w:rsidRPr="00000000">
        <w:rPr>
          <w:rtl w:val="0"/>
        </w:rPr>
      </w:r>
    </w:p>
    <w:tbl>
      <w:tblPr>
        <w:tblStyle w:val="Table3"/>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7">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this an extension or roll-over of an existing loan?  If so, please confirm that all interest has been paid up to the date of this extension or roll-over</w:t>
            </w:r>
          </w:p>
        </w:tc>
        <w:tc>
          <w:tcPr/>
          <w:p w:rsidR="00000000" w:rsidDel="00000000" w:rsidP="00000000" w:rsidRDefault="00000000" w:rsidRPr="00000000" w14:paraId="00000028">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No</w:t>
            </w: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net value of the fund at the date of this loan</w:t>
            </w:r>
          </w:p>
        </w:tc>
        <w:tc>
          <w:tcPr/>
          <w:p w:rsidR="00000000" w:rsidDel="00000000" w:rsidP="00000000" w:rsidRDefault="00000000" w:rsidRPr="00000000" w14:paraId="0000002A">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400,654.75</w:t>
            </w: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Required amount (see </w:t>
            </w:r>
            <w:r w:rsidDel="00000000" w:rsidR="00000000" w:rsidRPr="00000000">
              <w:rPr>
                <w:rFonts w:ascii="Calibri" w:cs="Calibri" w:eastAsia="Calibri" w:hAnsi="Calibri"/>
                <w:sz w:val="20"/>
                <w:szCs w:val="20"/>
                <w:rtl w:val="0"/>
              </w:rPr>
              <w:t xml:space="preserve">calculation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below)*</w:t>
            </w:r>
          </w:p>
        </w:tc>
        <w:tc>
          <w:tcPr/>
          <w:p w:rsidR="00000000" w:rsidDel="00000000" w:rsidP="00000000" w:rsidRDefault="00000000" w:rsidRPr="00000000" w14:paraId="0000002C">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400,000</w:t>
            </w:r>
            <w:r w:rsidDel="00000000" w:rsidR="00000000" w:rsidRPr="00000000">
              <w:rPr>
                <w:rtl w:val="0"/>
              </w:rPr>
            </w:r>
          </w:p>
        </w:tc>
      </w:tr>
    </w:tbl>
    <w:p w:rsidR="00000000" w:rsidDel="00000000" w:rsidP="00000000" w:rsidRDefault="00000000" w:rsidRPr="00000000" w14:paraId="0000002D">
      <w:pPr>
        <w:rPr>
          <w:rFonts w:ascii="Calibri" w:cs="Calibri" w:eastAsia="Calibri" w:hAnsi="Calibri"/>
          <w:color w:val="6497b8"/>
          <w:sz w:val="20"/>
          <w:szCs w:val="20"/>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6497b8"/>
          <w:sz w:val="20"/>
          <w:szCs w:val="20"/>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6497b8"/>
          <w:sz w:val="20"/>
          <w:szCs w:val="20"/>
        </w:rPr>
      </w:pPr>
      <w:r w:rsidDel="00000000" w:rsidR="00000000" w:rsidRPr="00000000">
        <w:rPr>
          <w:rFonts w:ascii="Calibri" w:cs="Calibri" w:eastAsia="Calibri" w:hAnsi="Calibri"/>
          <w:color w:val="6497b8"/>
          <w:sz w:val="20"/>
          <w:szCs w:val="20"/>
          <w:rtl w:val="0"/>
        </w:rPr>
        <w:t xml:space="preserve">Details of all other oustanding loans to the sponsoring and/or participating employer</w:t>
      </w:r>
    </w:p>
    <w:p w:rsidR="00000000" w:rsidDel="00000000" w:rsidP="00000000" w:rsidRDefault="00000000" w:rsidRPr="00000000" w14:paraId="00000030">
      <w:pPr>
        <w:rPr>
          <w:rFonts w:ascii="Calibri" w:cs="Calibri" w:eastAsia="Calibri" w:hAnsi="Calibri"/>
          <w:color w:val="000000"/>
          <w:sz w:val="20"/>
          <w:szCs w:val="20"/>
        </w:rPr>
      </w:pPr>
      <w:r w:rsidDel="00000000" w:rsidR="00000000" w:rsidRPr="00000000">
        <w:rPr>
          <w:rtl w:val="0"/>
        </w:rPr>
      </w:r>
    </w:p>
    <w:tbl>
      <w:tblPr>
        <w:tblStyle w:val="Table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3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Total amount invested in loans in the sponsoring and/or participating employer prior to the date of this loan</w:t>
            </w:r>
          </w:p>
        </w:tc>
        <w:tc>
          <w:tcPr/>
          <w:p w:rsidR="00000000" w:rsidDel="00000000" w:rsidP="00000000" w:rsidRDefault="00000000" w:rsidRPr="00000000" w14:paraId="00000032">
            <w:pPr>
              <w:keepNext w:val="0"/>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920"/>
                <w:tab w:val="left" w:leader="none" w:pos="1840"/>
                <w:tab w:val="left" w:leader="none" w:pos="2760"/>
                <w:tab w:val="left" w:leader="none" w:pos="3680"/>
                <w:tab w:val="left" w:leader="none" w:pos="4600"/>
                <w:tab w:val="left" w:leader="none" w:pos="5520"/>
                <w:tab w:val="left" w:leader="none" w:pos="6440"/>
                <w:tab w:val="left" w:leader="none" w:pos="7360"/>
                <w:tab w:val="left" w:leader="none" w:pos="8280"/>
                <w:tab w:val="left" w:leader="none" w:pos="9200"/>
              </w:tabs>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0</w:t>
            </w:r>
            <w:r w:rsidDel="00000000" w:rsidR="00000000" w:rsidRPr="00000000">
              <w:rPr>
                <w:rtl w:val="0"/>
              </w:rPr>
            </w:r>
          </w:p>
        </w:tc>
      </w:tr>
    </w:tbl>
    <w:p w:rsidR="00000000" w:rsidDel="00000000" w:rsidP="00000000" w:rsidRDefault="00000000" w:rsidRPr="00000000" w14:paraId="00000033">
      <w:pPr>
        <w:rPr>
          <w:rFonts w:ascii="Calibri" w:cs="Calibri" w:eastAsia="Calibri" w:hAnsi="Calibri"/>
          <w:color w:val="000000"/>
          <w:sz w:val="20"/>
          <w:szCs w:val="20"/>
        </w:rPr>
      </w:pPr>
      <w:r w:rsidDel="00000000" w:rsidR="00000000" w:rsidRPr="00000000">
        <w:rPr>
          <w:rtl w:val="0"/>
        </w:rPr>
      </w:r>
    </w:p>
    <w:tbl>
      <w:tblPr>
        <w:tblStyle w:val="Table5"/>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1701"/>
        <w:gridCol w:w="1800"/>
        <w:gridCol w:w="2253"/>
        <w:tblGridChange w:id="0">
          <w:tblGrid>
            <w:gridCol w:w="3256"/>
            <w:gridCol w:w="1701"/>
            <w:gridCol w:w="1800"/>
            <w:gridCol w:w="2253"/>
          </w:tblGrid>
        </w:tblGridChange>
      </w:tblGrid>
      <w:tr>
        <w:trPr>
          <w:cantSplit w:val="0"/>
          <w:tblHeader w:val="0"/>
        </w:trPr>
        <w:tc>
          <w:tcPr/>
          <w:p w:rsidR="00000000" w:rsidDel="00000000" w:rsidP="00000000" w:rsidRDefault="00000000" w:rsidRPr="00000000" w14:paraId="0000003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Name of borrower</w:t>
            </w:r>
          </w:p>
        </w:tc>
        <w:tc>
          <w:tcPr/>
          <w:p w:rsidR="00000000" w:rsidDel="00000000" w:rsidP="00000000" w:rsidRDefault="00000000" w:rsidRPr="00000000" w14:paraId="0000003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Date of loan</w:t>
            </w:r>
          </w:p>
        </w:tc>
        <w:tc>
          <w:tcPr/>
          <w:p w:rsidR="00000000" w:rsidDel="00000000" w:rsidP="00000000" w:rsidRDefault="00000000" w:rsidRPr="00000000" w14:paraId="0000003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Original amount of loan</w:t>
            </w:r>
          </w:p>
        </w:tc>
        <w:tc>
          <w:tcPr/>
          <w:p w:rsidR="00000000" w:rsidDel="00000000" w:rsidP="00000000" w:rsidRDefault="00000000" w:rsidRPr="00000000" w14:paraId="0000003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Amount of loan outstanding at the date of this transaction</w:t>
            </w:r>
          </w:p>
        </w:tc>
      </w:tr>
      <w:tr>
        <w:trPr>
          <w:cantSplit w:val="0"/>
          <w:tblHeader w:val="0"/>
        </w:trPr>
        <w:tc>
          <w:tcPr/>
          <w:p w:rsidR="00000000" w:rsidDel="00000000" w:rsidP="00000000" w:rsidRDefault="00000000" w:rsidRPr="00000000" w14:paraId="0000003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C">
            <w:pPr>
              <w:rPr>
                <w:rFonts w:ascii="Calibri" w:cs="Calibri" w:eastAsia="Calibri" w:hAnsi="Calibri"/>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3F">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40">
            <w:pPr>
              <w:rPr>
                <w:rFonts w:ascii="Calibri" w:cs="Calibri" w:eastAsia="Calibri" w:hAnsi="Calibri"/>
                <w:color w:val="000000"/>
                <w:sz w:val="20"/>
                <w:szCs w:val="20"/>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4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loan repayment calculator can be found at:</w:t>
      </w:r>
    </w:p>
    <w:p w:rsidR="00000000" w:rsidDel="00000000" w:rsidP="00000000" w:rsidRDefault="00000000" w:rsidRPr="00000000" w14:paraId="00000044">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0"/>
          <w:szCs w:val="20"/>
        </w:rPr>
      </w:pPr>
      <w:hyperlink r:id="rId7">
        <w:r w:rsidDel="00000000" w:rsidR="00000000" w:rsidRPr="00000000">
          <w:rPr>
            <w:rFonts w:ascii="Calibri" w:cs="Calibri" w:eastAsia="Calibri" w:hAnsi="Calibri"/>
            <w:color w:val="0563c1"/>
            <w:sz w:val="20"/>
            <w:szCs w:val="20"/>
            <w:u w:val="single"/>
            <w:rtl w:val="0"/>
          </w:rPr>
          <w:t xml:space="preserve">https://www.theguardian.com/money/loan-repayment-calculator-interest-rates</w:t>
        </w:r>
      </w:hyperlink>
      <w:r w:rsidDel="00000000" w:rsidR="00000000" w:rsidRPr="00000000">
        <w:rPr>
          <w:rtl w:val="0"/>
        </w:rPr>
      </w:r>
    </w:p>
    <w:p w:rsidR="00000000" w:rsidDel="00000000" w:rsidP="00000000" w:rsidRDefault="00000000" w:rsidRPr="00000000" w14:paraId="00000046">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full loan repayment calculation must be provided in an excel format including the amount of the loan, total interest payable and number of loan years/months.</w:t>
      </w:r>
    </w:p>
    <w:p w:rsidR="00000000" w:rsidDel="00000000" w:rsidP="00000000" w:rsidRDefault="00000000" w:rsidRPr="00000000" w14:paraId="0000004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loans to sponsoring employers must be repayable at least in equal instalments of capital and interest for each complete year of the loan, beginning on the date that the loan is made and ending on the last day of the following 12-month period - known as a loan year.  If the loan is for less than a complete year, then the incomplete year is treated as the final year of the loan.</w:t>
      </w:r>
    </w:p>
    <w:p w:rsidR="00000000" w:rsidDel="00000000" w:rsidP="00000000" w:rsidRDefault="00000000" w:rsidRPr="00000000" w14:paraId="0000004A">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amount of capital and interest repayments payable by the end of each loan year must not be less than the ‘required amount’ which is calculated by the formula:</w:t>
      </w:r>
    </w:p>
    <w:p w:rsidR="00000000" w:rsidDel="00000000" w:rsidP="00000000" w:rsidRDefault="00000000" w:rsidRPr="00000000" w14:paraId="0000004C">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[(L+TIP) / TLY] x NLY</w:t>
      </w:r>
    </w:p>
    <w:p w:rsidR="00000000" w:rsidDel="00000000" w:rsidP="00000000" w:rsidRDefault="00000000" w:rsidRPr="00000000" w14:paraId="0000004E">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Where:</w:t>
      </w:r>
    </w:p>
    <w:p w:rsidR="00000000" w:rsidDel="00000000" w:rsidP="00000000" w:rsidRDefault="00000000" w:rsidRPr="00000000" w14:paraId="0000004F">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 is the amount of the loan.</w:t>
      </w:r>
    </w:p>
    <w:p w:rsidR="00000000" w:rsidDel="00000000" w:rsidP="00000000" w:rsidRDefault="00000000" w:rsidRPr="00000000" w14:paraId="0000005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TIP is the total interest payable.</w:t>
      </w:r>
    </w:p>
    <w:p w:rsidR="00000000" w:rsidDel="00000000" w:rsidP="00000000" w:rsidRDefault="00000000" w:rsidRPr="00000000" w14:paraId="0000005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TLY is the total number of loan years.</w:t>
      </w:r>
    </w:p>
    <w:p w:rsidR="00000000" w:rsidDel="00000000" w:rsidP="00000000" w:rsidRDefault="00000000" w:rsidRPr="00000000" w14:paraId="0000005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NLY is the number of loan years in the period.</w:t>
      </w:r>
    </w:p>
    <w:p w:rsidR="00000000" w:rsidDel="00000000" w:rsidP="00000000" w:rsidRDefault="00000000" w:rsidRPr="00000000" w14:paraId="0000005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5">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Signed by all Managing Trustees:</w:t>
      </w:r>
    </w:p>
    <w:p w:rsidR="00000000" w:rsidDel="00000000" w:rsidP="00000000" w:rsidRDefault="00000000" w:rsidRPr="00000000" w14:paraId="00000056">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Managing Trustee     …………………………………………………….. Managing Trustee</w:t>
      </w:r>
    </w:p>
    <w:p w:rsidR="00000000" w:rsidDel="00000000" w:rsidP="00000000" w:rsidRDefault="00000000" w:rsidRPr="00000000" w14:paraId="00000059">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Connected person is as defined in section 993 Income Tax Act</w:t>
      </w:r>
      <w:r w:rsidDel="00000000" w:rsidR="00000000" w:rsidRPr="00000000">
        <w:rPr>
          <w:rFonts w:ascii="Arial" w:cs="Arial" w:eastAsia="Arial" w:hAnsi="Arial"/>
          <w:b w:val="0"/>
          <w:i w:val="0"/>
          <w:smallCaps w:val="0"/>
          <w:strike w:val="0"/>
          <w:color w:val="0b0c0c"/>
          <w:sz w:val="29"/>
          <w:szCs w:val="29"/>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2007.</w:t>
      </w:r>
    </w:p>
    <w:p w:rsidR="00000000" w:rsidDel="00000000" w:rsidP="00000000" w:rsidRDefault="00000000" w:rsidRPr="00000000" w14:paraId="0000005C">
      <w:pPr>
        <w:ind w:left="66" w:firstLine="0"/>
        <w:rPr>
          <w:color w:val="000000"/>
          <w:sz w:val="20"/>
          <w:szCs w:val="20"/>
        </w:rPr>
      </w:pPr>
      <w:r w:rsidDel="00000000" w:rsidR="00000000" w:rsidRPr="00000000">
        <w:rPr>
          <w:rtl w:val="0"/>
        </w:rPr>
      </w:r>
    </w:p>
    <w:sectPr>
      <w:headerReference r:id="rId8" w:type="default"/>
      <w:footerReference r:id="rId9"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Script MT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smallCaps w:val="1"/>
        <w:color w:val="808080"/>
        <w:sz w:val="20"/>
        <w:szCs w:val="20"/>
      </w:rPr>
      <mc:AlternateContent>
        <mc:Choice Requires="wpg">
          <w:drawing>
            <wp:anchor allowOverlap="1" behindDoc="0" distB="0" distT="0" distL="114300" distR="114300" hidden="0" layoutInCell="1" locked="0" relativeHeight="0" simplePos="0">
              <wp:simplePos x="0" y="0"/>
              <wp:positionH relativeFrom="page">
                <wp:posOffset>622233</wp:posOffset>
              </wp:positionH>
              <wp:positionV relativeFrom="page">
                <wp:posOffset>100397</wp:posOffset>
              </wp:positionV>
              <wp:extent cx="1700784" cy="961292"/>
              <wp:effectExtent b="0" l="0" r="0" t="0"/>
              <wp:wrapNone/>
              <wp:docPr id="159" name=""/>
              <a:graphic>
                <a:graphicData uri="http://schemas.microsoft.com/office/word/2010/wordprocessingGroup">
                  <wpg:wgp>
                    <wpg:cNvGrpSpPr/>
                    <wpg:grpSpPr>
                      <a:xfrm>
                        <a:off x="4495600" y="2710850"/>
                        <a:ext cx="1700784" cy="961292"/>
                        <a:chOff x="4495600" y="2710850"/>
                        <a:chExt cx="1700800" cy="1791900"/>
                      </a:xfrm>
                    </wpg:grpSpPr>
                    <wpg:grpSp>
                      <wpg:cNvGrpSpPr/>
                      <wpg:grpSpPr>
                        <a:xfrm>
                          <a:off x="4495608" y="3299354"/>
                          <a:ext cx="1700784" cy="961292"/>
                          <a:chOff x="0" y="0"/>
                          <a:chExt cx="1700784" cy="1024128"/>
                        </a:xfrm>
                      </wpg:grpSpPr>
                      <wps:wsp>
                        <wps:cNvSpPr/>
                        <wps:cNvPr id="3" name="Shape 3"/>
                        <wps:spPr>
                          <a:xfrm>
                            <a:off x="0" y="0"/>
                            <a:ext cx="1700775" cy="1024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700784" cy="1024128"/>
                            <a:chOff x="0" y="0"/>
                            <a:chExt cx="1700784" cy="1024128"/>
                          </a:xfrm>
                        </wpg:grpSpPr>
                        <wps:wsp>
                          <wps:cNvSpPr/>
                          <wps:cNvPr id="5" name="Shape 5"/>
                          <wps:spPr>
                            <a:xfrm>
                              <a:off x="0" y="0"/>
                              <a:ext cx="1700784" cy="1024128"/>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28600" y="0"/>
                              <a:ext cx="1463040" cy="1014984"/>
                            </a:xfrm>
                            <a:custGeom>
                              <a:rect b="b" l="l" r="r" t="t"/>
                              <a:pathLst>
                                <a:path extrusionOk="0" h="1014481" w="1462822">
                                  <a:moveTo>
                                    <a:pt x="0" y="0"/>
                                  </a:moveTo>
                                  <a:lnTo>
                                    <a:pt x="1462822" y="0"/>
                                  </a:lnTo>
                                  <a:lnTo>
                                    <a:pt x="910372" y="376306"/>
                                  </a:lnTo>
                                  <a:lnTo>
                                    <a:pt x="0" y="1014481"/>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7" name="Shape 7"/>
                          <wps:spPr>
                            <a:xfrm>
                              <a:off x="228600" y="0"/>
                              <a:ext cx="1472184" cy="1024128"/>
                            </a:xfrm>
                            <a:prstGeom prst="rect">
                              <a:avLst/>
                            </a:prstGeom>
                            <a:blipFill rotWithShape="1">
                              <a:blip r:embed="rId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 name="Shape 8"/>
                        <wps:spPr>
                          <a:xfrm flipH="1">
                            <a:off x="237067" y="18942"/>
                            <a:ext cx="442824" cy="37528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t xml:space="preserve"> PAGE   \* MERGEFORMAT 1</w:t>
                              </w: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622233</wp:posOffset>
              </wp:positionH>
              <wp:positionV relativeFrom="page">
                <wp:posOffset>100397</wp:posOffset>
              </wp:positionV>
              <wp:extent cx="1700784" cy="961292"/>
              <wp:effectExtent b="0" l="0" r="0" t="0"/>
              <wp:wrapNone/>
              <wp:docPr id="15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700784" cy="961292"/>
                      </a:xfrm>
                      <a:prstGeom prst="rect"/>
                      <a:ln/>
                    </pic:spPr>
                  </pic:pic>
                </a:graphicData>
              </a:graphic>
            </wp:anchor>
          </w:drawing>
        </mc:Fallback>
      </mc:AlternateContent>
    </w:r>
    <w:r w:rsidDel="00000000" w:rsidR="00000000" w:rsidRPr="00000000">
      <w:rPr>
        <w:rtl w:val="0"/>
      </w:rPr>
      <w:tab/>
    </w:r>
  </w:p>
  <w:p w:rsidR="00000000" w:rsidDel="00000000" w:rsidP="00000000" w:rsidRDefault="00000000" w:rsidRPr="00000000" w14:paraId="0000005E">
    <w:pPr>
      <w:jc w:val="right"/>
      <w:rPr>
        <w:rFonts w:ascii="Script MT Bold" w:cs="Script MT Bold" w:eastAsia="Script MT Bold" w:hAnsi="Script MT Bold"/>
        <w:i w:val="1"/>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12BF"/>
    <w:rPr>
      <w:rFonts w:ascii="Times New Roman" w:cs="Times New Roman" w:hAnsi="Times New Roman"/>
      <w:lang w:eastAsia="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34324"/>
    <w:pPr>
      <w:tabs>
        <w:tab w:val="center" w:pos="4513"/>
        <w:tab w:val="right" w:pos="9026"/>
      </w:tabs>
    </w:pPr>
    <w:rPr>
      <w:rFonts w:asciiTheme="minorHAnsi" w:cstheme="minorBidi" w:hAnsiTheme="minorHAnsi"/>
      <w:lang w:eastAsia="en-US"/>
    </w:rPr>
  </w:style>
  <w:style w:type="character" w:styleId="HeaderChar" w:customStyle="1">
    <w:name w:val="Header Char"/>
    <w:basedOn w:val="DefaultParagraphFont"/>
    <w:link w:val="Header"/>
    <w:uiPriority w:val="99"/>
    <w:rsid w:val="00234324"/>
  </w:style>
  <w:style w:type="paragraph" w:styleId="Footer">
    <w:name w:val="footer"/>
    <w:basedOn w:val="Normal"/>
    <w:link w:val="FooterChar"/>
    <w:uiPriority w:val="99"/>
    <w:unhideWhenUsed w:val="1"/>
    <w:rsid w:val="00234324"/>
    <w:pPr>
      <w:tabs>
        <w:tab w:val="center" w:pos="4513"/>
        <w:tab w:val="right" w:pos="9026"/>
      </w:tabs>
    </w:pPr>
    <w:rPr>
      <w:rFonts w:asciiTheme="minorHAnsi" w:cstheme="minorBidi" w:hAnsiTheme="minorHAnsi"/>
      <w:lang w:eastAsia="en-US"/>
    </w:rPr>
  </w:style>
  <w:style w:type="character" w:styleId="FooterChar" w:customStyle="1">
    <w:name w:val="Footer Char"/>
    <w:basedOn w:val="DefaultParagraphFont"/>
    <w:link w:val="Footer"/>
    <w:uiPriority w:val="99"/>
    <w:rsid w:val="00234324"/>
  </w:style>
  <w:style w:type="table" w:styleId="TableGrid">
    <w:name w:val="Table Grid"/>
    <w:basedOn w:val="TableNormal"/>
    <w:uiPriority w:val="39"/>
    <w:rsid w:val="004657A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reeForm" w:customStyle="1">
    <w:name w:val="Free Form"/>
    <w:rsid w:val="004657AD"/>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bdr w:space="0" w:sz="0" w:val="nil"/>
      <w:lang w:eastAsia="en-GB" w:val="de-DE"/>
    </w:rPr>
  </w:style>
  <w:style w:type="paragraph" w:styleId="ListParagraph">
    <w:name w:val="List Paragraph"/>
    <w:basedOn w:val="Normal"/>
    <w:uiPriority w:val="34"/>
    <w:qFormat w:val="1"/>
    <w:rsid w:val="004657AD"/>
    <w:pPr>
      <w:ind w:left="720"/>
      <w:contextualSpacing w:val="1"/>
    </w:pPr>
    <w:rPr>
      <w:rFonts w:asciiTheme="minorHAnsi" w:cstheme="minorBidi" w:hAnsiTheme="minorHAnsi"/>
      <w:lang w:eastAsia="en-US"/>
    </w:rPr>
  </w:style>
  <w:style w:type="character" w:styleId="Strong">
    <w:name w:val="Strong"/>
    <w:basedOn w:val="DefaultParagraphFont"/>
    <w:qFormat w:val="1"/>
    <w:rsid w:val="00C602CA"/>
    <w:rPr>
      <w:b w:val="1"/>
    </w:rPr>
  </w:style>
  <w:style w:type="character" w:styleId="Hyperlink">
    <w:name w:val="Hyperlink"/>
    <w:basedOn w:val="DefaultParagraphFont"/>
    <w:uiPriority w:val="99"/>
    <w:unhideWhenUsed w:val="1"/>
    <w:rsid w:val="005E7650"/>
    <w:rPr>
      <w:color w:val="0563c1" w:themeColor="hyperlink"/>
      <w:u w:val="single"/>
    </w:rPr>
  </w:style>
  <w:style w:type="character" w:styleId="UnresolvedMention">
    <w:name w:val="Unresolved Mention"/>
    <w:basedOn w:val="DefaultParagraphFont"/>
    <w:uiPriority w:val="99"/>
    <w:rsid w:val="005E765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guardian.com/money/loan-repayment-calculator-interest-rat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9ONUFndDQtW8n/a7RNLgF1SgLA==">CgMxLjA4AHIhMWVJdm5vWmFReXZrNmdseTlYdXRnQThOY0V6SFI5WTVv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2024-11-08T12:08:00Z</dcterms:created>
  <dc:creator>Fiona Black</dc:creator>
</cp:coreProperties>
</file>