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BDDB" w14:textId="01C4702C" w:rsidR="005F5BEC" w:rsidRDefault="000E6FDA">
      <w:pPr>
        <w:jc w:val="center"/>
      </w:pPr>
      <w:r>
        <w:rPr>
          <w:b/>
        </w:rPr>
        <w:t>CHL Investments SSAS</w:t>
      </w:r>
    </w:p>
    <w:p w14:paraId="7FE7434F" w14:textId="77777777" w:rsidR="005F5BEC" w:rsidRDefault="005F5BEC"/>
    <w:p w14:paraId="660E3C36" w14:textId="694DC001" w:rsidR="005F5BEC" w:rsidRDefault="001767CE">
      <w:r>
        <w:t xml:space="preserve">Minutes of a meeting of the trustees of the </w:t>
      </w:r>
      <w:r w:rsidR="000E6FDA">
        <w:rPr>
          <w:b/>
        </w:rPr>
        <w:t>CHL Investments SSAS</w:t>
      </w:r>
      <w:r w:rsidR="009C4690">
        <w:rPr>
          <w:b/>
        </w:rPr>
        <w:t xml:space="preserve"> </w:t>
      </w:r>
      <w:r>
        <w:t xml:space="preserve">(the </w:t>
      </w:r>
      <w:r>
        <w:rPr>
          <w:b/>
        </w:rPr>
        <w:t>Scheme</w:t>
      </w:r>
      <w:r>
        <w:t xml:space="preserve">) held </w:t>
      </w:r>
      <w:r w:rsidR="008F27CC">
        <w:t xml:space="preserve">on </w:t>
      </w:r>
      <w:r w:rsidR="00C449D8" w:rsidRPr="00C449D8">
        <w:rPr>
          <w:highlight w:val="yellow"/>
        </w:rPr>
        <w:t>5</w:t>
      </w:r>
      <w:r w:rsidR="00C449D8" w:rsidRPr="00C449D8">
        <w:rPr>
          <w:highlight w:val="yellow"/>
          <w:vertAlign w:val="superscript"/>
        </w:rPr>
        <w:t>th</w:t>
      </w:r>
      <w:r w:rsidR="00C449D8" w:rsidRPr="00C449D8">
        <w:rPr>
          <w:highlight w:val="yellow"/>
        </w:rPr>
        <w:t xml:space="preserve"> April 2023</w:t>
      </w:r>
      <w:r w:rsidR="008A5AD9">
        <w:t>.</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05EC0F2F" w14:textId="24D25B9D" w:rsidR="005F5BEC" w:rsidRDefault="000E6FDA">
            <w:pPr>
              <w:spacing w:after="240"/>
            </w:pPr>
            <w:r>
              <w:t>Claire Hamlett-Ledger</w:t>
            </w:r>
            <w:r w:rsidR="009C4690">
              <w:t xml:space="preserve"> </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080F201F" w:rsidR="005F5BEC" w:rsidRPr="008A5AD9" w:rsidRDefault="001767CE" w:rsidP="00995E8B">
      <w:pPr>
        <w:numPr>
          <w:ilvl w:val="1"/>
          <w:numId w:val="1"/>
        </w:numPr>
        <w:pBdr>
          <w:top w:val="nil"/>
          <w:left w:val="nil"/>
          <w:bottom w:val="nil"/>
          <w:right w:val="nil"/>
          <w:between w:val="nil"/>
        </w:pBdr>
        <w:spacing w:after="240" w:line="312" w:lineRule="auto"/>
        <w:rPr>
          <w:color w:val="000000"/>
        </w:rPr>
      </w:pPr>
      <w:r w:rsidRPr="008A5AD9">
        <w:rPr>
          <w:color w:val="000000"/>
        </w:rPr>
        <w:t xml:space="preserve">It was reported that the purpose of the meeting was to </w:t>
      </w:r>
      <w:r w:rsidR="009D3C0D" w:rsidRPr="008A5AD9">
        <w:rPr>
          <w:color w:val="000000"/>
        </w:rPr>
        <w:t xml:space="preserve">confirm that the payment </w:t>
      </w:r>
      <w:r w:rsidR="00CC2075">
        <w:rPr>
          <w:color w:val="000000"/>
        </w:rPr>
        <w:t>of £</w:t>
      </w:r>
      <w:r w:rsidR="00CC2075" w:rsidRPr="00CC2075">
        <w:rPr>
          <w:color w:val="000000"/>
          <w:highlight w:val="yellow"/>
        </w:rPr>
        <w:t>25,050.43</w:t>
      </w:r>
      <w:r w:rsidR="00CC2075">
        <w:rPr>
          <w:color w:val="000000"/>
        </w:rPr>
        <w:t xml:space="preserve"> </w:t>
      </w:r>
      <w:r w:rsidR="009D3C0D" w:rsidRPr="008A5AD9">
        <w:rPr>
          <w:color w:val="000000"/>
        </w:rPr>
        <w:t xml:space="preserve">made by </w:t>
      </w:r>
      <w:r w:rsidR="000E6FDA">
        <w:t>Claire Hamlett-Ledger</w:t>
      </w:r>
      <w:r w:rsidRPr="008A5AD9">
        <w:rPr>
          <w:color w:val="000000"/>
        </w:rPr>
        <w:t xml:space="preserve"> (the </w:t>
      </w:r>
      <w:r w:rsidR="000E6FDA" w:rsidRPr="008A5AD9">
        <w:rPr>
          <w:b/>
          <w:bCs/>
          <w:color w:val="000000"/>
        </w:rPr>
        <w:t>Debtor</w:t>
      </w:r>
      <w:r w:rsidRPr="008A5AD9">
        <w:rPr>
          <w:color w:val="000000"/>
        </w:rPr>
        <w:t>)</w:t>
      </w:r>
      <w:r w:rsidR="00CC2075">
        <w:rPr>
          <w:color w:val="000000"/>
        </w:rPr>
        <w:t xml:space="preserve"> and received into the Scheme’s bank account in cleared funds on the 5</w:t>
      </w:r>
      <w:r w:rsidR="00CC2075" w:rsidRPr="00CC2075">
        <w:rPr>
          <w:color w:val="000000"/>
          <w:vertAlign w:val="superscript"/>
        </w:rPr>
        <w:t>th</w:t>
      </w:r>
      <w:r w:rsidR="00CC2075">
        <w:rPr>
          <w:color w:val="000000"/>
        </w:rPr>
        <w:t xml:space="preserve"> April 2023</w:t>
      </w:r>
      <w:r w:rsidR="009D3C0D" w:rsidRPr="008A5AD9">
        <w:rPr>
          <w:color w:val="000000"/>
        </w:rPr>
        <w:t xml:space="preserve">, comprising of £23,932.80 in outstanding capital plus </w:t>
      </w:r>
      <w:r w:rsidR="008A5AD9" w:rsidRPr="008A5AD9">
        <w:rPr>
          <w:color w:val="000000"/>
        </w:rPr>
        <w:t>£</w:t>
      </w:r>
      <w:r w:rsidR="008A5AD9" w:rsidRPr="00E344F3">
        <w:rPr>
          <w:color w:val="000000"/>
          <w:highlight w:val="yellow"/>
        </w:rPr>
        <w:t>1,117.63</w:t>
      </w:r>
      <w:r w:rsidR="008A5AD9" w:rsidRPr="008A5AD9">
        <w:rPr>
          <w:color w:val="000000"/>
        </w:rPr>
        <w:t xml:space="preserve"> in accrued interest</w:t>
      </w:r>
      <w:r w:rsidR="00CC2075">
        <w:rPr>
          <w:color w:val="000000"/>
        </w:rPr>
        <w:t>,</w:t>
      </w:r>
      <w:r w:rsidR="00496602" w:rsidRPr="008A5AD9">
        <w:rPr>
          <w:color w:val="000000"/>
        </w:rPr>
        <w:t xml:space="preserve"> </w:t>
      </w:r>
      <w:r w:rsidR="009D3C0D" w:rsidRPr="008A5AD9">
        <w:rPr>
          <w:color w:val="000000"/>
        </w:rPr>
        <w:t xml:space="preserve">constitutes a full and final redemption of all amounts owed to the Scheme under the terms of a Scheme Debt Agreement </w:t>
      </w:r>
      <w:r w:rsidR="008A5AD9">
        <w:rPr>
          <w:color w:val="000000"/>
        </w:rPr>
        <w:t>dated 16</w:t>
      </w:r>
      <w:r w:rsidR="008A5AD9" w:rsidRPr="008A5AD9">
        <w:rPr>
          <w:color w:val="000000"/>
          <w:vertAlign w:val="superscript"/>
        </w:rPr>
        <w:t>th</w:t>
      </w:r>
      <w:r w:rsidR="008A5AD9">
        <w:rPr>
          <w:color w:val="000000"/>
        </w:rPr>
        <w:t xml:space="preserve"> March 2017 (the </w:t>
      </w:r>
      <w:r w:rsidR="008A5AD9" w:rsidRPr="008A5AD9">
        <w:rPr>
          <w:b/>
          <w:bCs/>
          <w:color w:val="000000"/>
        </w:rPr>
        <w:t>Agreement</w:t>
      </w:r>
      <w:r w:rsidR="008A5AD9">
        <w:rPr>
          <w:color w:val="000000"/>
        </w:rPr>
        <w:t xml:space="preserve">) </w:t>
      </w:r>
      <w:r w:rsidR="009D3C0D" w:rsidRPr="008A5AD9">
        <w:rPr>
          <w:color w:val="000000"/>
        </w:rPr>
        <w:t>between the Trustee of the Scheme and the Debtor.</w:t>
      </w:r>
      <w:r w:rsidR="00A32EEB" w:rsidRPr="008A5AD9">
        <w:rPr>
          <w:color w:val="000000"/>
        </w:rPr>
        <w:t xml:space="preserve"> </w:t>
      </w:r>
    </w:p>
    <w:p w14:paraId="562DF218" w14:textId="69791EA3"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IT WAS RESOLVED </w:t>
      </w:r>
      <w:r w:rsidR="008F27CC">
        <w:rPr>
          <w:color w:val="000000"/>
        </w:rPr>
        <w:t>that the Trustee accept</w:t>
      </w:r>
      <w:r w:rsidR="008A5AD9">
        <w:rPr>
          <w:color w:val="000000"/>
        </w:rPr>
        <w:t>s the recent payment of £</w:t>
      </w:r>
      <w:r w:rsidR="008A5AD9" w:rsidRPr="00E344F3">
        <w:rPr>
          <w:color w:val="000000"/>
          <w:highlight w:val="yellow"/>
        </w:rPr>
        <w:t>25,050.43</w:t>
      </w:r>
      <w:r w:rsidR="008A5AD9">
        <w:rPr>
          <w:color w:val="000000"/>
        </w:rPr>
        <w:t xml:space="preserve"> as a full and final </w:t>
      </w:r>
      <w:r w:rsidR="00E344F3">
        <w:rPr>
          <w:color w:val="000000"/>
        </w:rPr>
        <w:t>settlement</w:t>
      </w:r>
      <w:r w:rsidR="008A5AD9">
        <w:rPr>
          <w:color w:val="000000"/>
        </w:rPr>
        <w:t xml:space="preserve"> of all sums owed to the Scheme by the Debtor, including the outstanding amount due on the Purchase Price and all accrued but unpaid interest, under the terms of the Agreement, and </w:t>
      </w:r>
      <w:proofErr w:type="gramStart"/>
      <w:r w:rsidR="008A5AD9">
        <w:rPr>
          <w:color w:val="000000"/>
        </w:rPr>
        <w:t>any and all</w:t>
      </w:r>
      <w:proofErr w:type="gramEnd"/>
      <w:r w:rsidR="008A5AD9">
        <w:rPr>
          <w:color w:val="000000"/>
        </w:rPr>
        <w:t xml:space="preserve"> obligations imposed on either party to the Agreement by said Agreement are now ended.</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lastRenderedPageBreak/>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4B6E218C" w:rsidR="00210023" w:rsidRDefault="00EC342C" w:rsidP="00210023">
      <w:pPr>
        <w:keepNext/>
        <w:pBdr>
          <w:top w:val="nil"/>
          <w:left w:val="nil"/>
          <w:bottom w:val="nil"/>
          <w:right w:val="nil"/>
          <w:between w:val="nil"/>
        </w:pBdr>
        <w:spacing w:after="240" w:line="312" w:lineRule="auto"/>
        <w:ind w:left="851" w:hanging="850"/>
        <w:contextualSpacing/>
        <w:rPr>
          <w:color w:val="000000"/>
        </w:rPr>
      </w:pPr>
      <w:r>
        <w:rPr>
          <w:color w:val="000000"/>
        </w:rPr>
        <w:t>Claire Hamlett-Ledger</w:t>
      </w:r>
    </w:p>
    <w:p w14:paraId="07627261" w14:textId="5B09D212"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909D" w14:textId="77777777" w:rsidR="00904E1A" w:rsidRDefault="00904E1A">
      <w:r>
        <w:separator/>
      </w:r>
    </w:p>
  </w:endnote>
  <w:endnote w:type="continuationSeparator" w:id="0">
    <w:p w14:paraId="47C0934E" w14:textId="77777777" w:rsidR="00904E1A" w:rsidRDefault="0090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5750" w14:textId="77777777" w:rsidR="00904E1A" w:rsidRDefault="00904E1A">
      <w:r>
        <w:separator/>
      </w:r>
    </w:p>
  </w:footnote>
  <w:footnote w:type="continuationSeparator" w:id="0">
    <w:p w14:paraId="33518BFF" w14:textId="77777777" w:rsidR="00904E1A" w:rsidRDefault="0090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16cid:durableId="192926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80084"/>
    <w:rsid w:val="000E435C"/>
    <w:rsid w:val="000E6FDA"/>
    <w:rsid w:val="001139E0"/>
    <w:rsid w:val="00162D77"/>
    <w:rsid w:val="001767CE"/>
    <w:rsid w:val="001A1982"/>
    <w:rsid w:val="00210023"/>
    <w:rsid w:val="002A0FA7"/>
    <w:rsid w:val="002A5A35"/>
    <w:rsid w:val="004333CB"/>
    <w:rsid w:val="00455398"/>
    <w:rsid w:val="00496602"/>
    <w:rsid w:val="005A0B11"/>
    <w:rsid w:val="005B1099"/>
    <w:rsid w:val="005B1E5A"/>
    <w:rsid w:val="005F5BEC"/>
    <w:rsid w:val="00631642"/>
    <w:rsid w:val="006B5658"/>
    <w:rsid w:val="006D4701"/>
    <w:rsid w:val="008A5AD9"/>
    <w:rsid w:val="008B6FE2"/>
    <w:rsid w:val="008F175D"/>
    <w:rsid w:val="008F27CC"/>
    <w:rsid w:val="00904E1A"/>
    <w:rsid w:val="009C4690"/>
    <w:rsid w:val="009D3C0D"/>
    <w:rsid w:val="00A32EEB"/>
    <w:rsid w:val="00C37E9D"/>
    <w:rsid w:val="00C449D8"/>
    <w:rsid w:val="00CC2075"/>
    <w:rsid w:val="00CD1426"/>
    <w:rsid w:val="00D134C3"/>
    <w:rsid w:val="00D858B5"/>
    <w:rsid w:val="00E00566"/>
    <w:rsid w:val="00E344F3"/>
    <w:rsid w:val="00EC342C"/>
    <w:rsid w:val="00EE7E19"/>
    <w:rsid w:val="00F6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 w:type="table" w:styleId="TableGrid">
    <w:name w:val="Table Grid"/>
    <w:basedOn w:val="TableNormal"/>
    <w:uiPriority w:val="39"/>
    <w:rsid w:val="008A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7</cp:revision>
  <dcterms:created xsi:type="dcterms:W3CDTF">2023-04-04T09:15:00Z</dcterms:created>
  <dcterms:modified xsi:type="dcterms:W3CDTF">2023-04-04T10:06:00Z</dcterms:modified>
</cp:coreProperties>
</file>