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14373C" w:rsidRPr="0014373C">
        <w:rPr>
          <w:rFonts w:ascii="Arial" w:hAnsi="Arial" w:cs="Arial"/>
        </w:rPr>
        <w:t>CDS Pension Scheme</w:t>
      </w:r>
      <w:bookmarkStart w:id="0" w:name="_GoBack"/>
      <w:bookmarkEnd w:id="0"/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AA63E8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AA63E8">
        <w:rPr>
          <w:rFonts w:ascii="Helvetica" w:hAnsi="Helvetica"/>
          <w:b/>
          <w:sz w:val="21"/>
          <w:szCs w:val="21"/>
        </w:rPr>
        <w:tab/>
      </w:r>
      <w:r w:rsidR="00AA63E8">
        <w:rPr>
          <w:rFonts w:ascii="Helvetica" w:hAnsi="Helvetica"/>
          <w:b/>
          <w:sz w:val="21"/>
          <w:szCs w:val="21"/>
        </w:rPr>
        <w:tab/>
      </w:r>
      <w:r w:rsidR="00AA63E8">
        <w:rPr>
          <w:rFonts w:ascii="Arial" w:hAnsi="Arial" w:cs="Arial"/>
          <w:b/>
          <w:sz w:val="21"/>
          <w:szCs w:val="21"/>
        </w:rPr>
        <w:t>Catherine Dawn Stephens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AA63E8" w:rsidRDefault="00627A4D" w:rsidP="000F636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AA63E8">
        <w:tab/>
      </w:r>
      <w:r w:rsidR="00AA63E8">
        <w:tab/>
      </w:r>
      <w:r w:rsidR="00AA63E8" w:rsidRPr="00AA63E8">
        <w:rPr>
          <w:rFonts w:ascii="Arial" w:hAnsi="Arial" w:cs="Arial"/>
          <w:b/>
        </w:rPr>
        <w:t>John Stephens</w:t>
      </w:r>
    </w:p>
    <w:sectPr w:rsidR="00D9391D" w:rsidRPr="00AA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4373C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AA63E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18</cp:revision>
  <cp:lastPrinted>2017-11-24T15:36:00Z</cp:lastPrinted>
  <dcterms:created xsi:type="dcterms:W3CDTF">2017-11-21T09:29:00Z</dcterms:created>
  <dcterms:modified xsi:type="dcterms:W3CDTF">2017-11-24T15:37:00Z</dcterms:modified>
</cp:coreProperties>
</file>