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Trustee Resolution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Bradley Russell Pension Scheme</w:t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"Scheme")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4th October 2024</w:t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 is desirous to wind up the Scheme given that the assets no longer have a cash surrender or equivalent value.</w:t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provisions of the Scheme, the Trustee of the Scheme have resolved that: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10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Signed:</w:t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iet5y476216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ev30k23zko0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Bradley Boyd Russell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mdGv+HMlhQsI3b/ALquV97W+w==">CgMxLjAyCGguZ2pkZ3hzMg5oLmlldDV5NDc2MjE2azIOaC5ldjMwazIzemtvMGk4AHIhMXJqbFk5RnZRX0taVkFzdzM0RFJiZlNzYkk0S0ZiQWFY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2024-08-01T13:20:00Z</dcterms:created>
</cp:coreProperties>
</file>