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True Potential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Newburn House,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Gateway West,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Newburn Riverside,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Newcastle upon Tyne,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NE15 8NX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rtl w:val="0"/>
        </w:rPr>
        <w:t xml:space="preserve"> September 2023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rtl w:val="0"/>
        </w:rPr>
        <w:t xml:space="preserve">Lucy Bowers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rtl w:val="0"/>
        </w:rPr>
        <w:t xml:space="preserve">P0755 – 30790 – 00396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Lucy Bowers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her pension out into a SSAS called “Bowers SSAS”, together with the following documents: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Statement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Lucy Bowers’s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76275" cy="409575"/>
            <wp:effectExtent b="0" l="0" r="0" t="0"/>
            <wp:docPr id="21316040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lla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21316040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21316040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lan-regular.ttf"/><Relationship Id="rId2" Type="http://schemas.openxmlformats.org/officeDocument/2006/relationships/font" Target="fonts/Alla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zthPzBx3sjbszwX7VqfzcTOmw==">CgMxLjA4AHIhMVJnMlVXOWI0LVVIV2swQzZvdFRkTTd1aWtoR2JNMDNU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2025-02-28T12:30:00Z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