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0B52" w:rsidRDefault="00B60B52">
      <w:pPr>
        <w:pStyle w:val="Standard"/>
        <w:spacing w:before="3"/>
      </w:pPr>
      <w:bookmarkStart w:id="0" w:name="h.gjdgxs"/>
      <w:bookmarkEnd w:id="0"/>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rPr>
          <w:sz w:val="20"/>
          <w:szCs w:val="20"/>
        </w:rPr>
      </w:pPr>
    </w:p>
    <w:p w:rsidR="00B60B52" w:rsidRPr="00B93171" w:rsidRDefault="00B60B52">
      <w:pPr>
        <w:pStyle w:val="Standard"/>
        <w:rPr>
          <w:color w:val="808080" w:themeColor="background1" w:themeShade="80"/>
          <w:sz w:val="20"/>
          <w:szCs w:val="20"/>
        </w:rPr>
      </w:pPr>
    </w:p>
    <w:p w:rsidR="00B60B52" w:rsidRPr="00B93171" w:rsidRDefault="004271FF">
      <w:pPr>
        <w:pStyle w:val="Heading1"/>
        <w:spacing w:before="38"/>
        <w:ind w:left="0" w:right="132" w:firstLine="0"/>
        <w:jc w:val="right"/>
        <w:rPr>
          <w:color w:val="808080" w:themeColor="background1" w:themeShade="80"/>
        </w:rPr>
      </w:pPr>
      <w:r w:rsidRPr="00B93171">
        <w:rPr>
          <w:color w:val="808080" w:themeColor="background1" w:themeShade="80"/>
        </w:rPr>
        <w:t>2015 Annual Report</w:t>
      </w:r>
    </w:p>
    <w:p w:rsidR="00B60B52" w:rsidRPr="00B93171" w:rsidRDefault="00B60B52">
      <w:pPr>
        <w:pStyle w:val="Standard"/>
        <w:spacing w:before="1"/>
        <w:rPr>
          <w:color w:val="808080" w:themeColor="background1" w:themeShade="80"/>
          <w:sz w:val="28"/>
          <w:szCs w:val="28"/>
        </w:rPr>
      </w:pPr>
    </w:p>
    <w:p w:rsidR="00B60B52" w:rsidRPr="00DF7E71" w:rsidRDefault="004271FF" w:rsidP="00DF7E71">
      <w:pPr>
        <w:pStyle w:val="Standard"/>
        <w:spacing w:before="72"/>
        <w:ind w:right="127"/>
        <w:jc w:val="right"/>
        <w:rPr>
          <w:rFonts w:ascii="Arial" w:eastAsia="Arial" w:hAnsi="Arial" w:cs="Arial"/>
        </w:rPr>
      </w:pPr>
      <w:proofErr w:type="gramStart"/>
      <w:r w:rsidRPr="00DF7E71">
        <w:rPr>
          <w:rFonts w:ascii="Arial" w:eastAsia="Arial" w:hAnsi="Arial" w:cs="Arial"/>
        </w:rPr>
        <w:t>to</w:t>
      </w:r>
      <w:proofErr w:type="gramEnd"/>
      <w:r w:rsidRPr="00DF7E71">
        <w:rPr>
          <w:rFonts w:ascii="Arial" w:eastAsia="Arial" w:hAnsi="Arial" w:cs="Arial"/>
        </w:rPr>
        <w:t xml:space="preserve"> the Trustees of</w:t>
      </w:r>
    </w:p>
    <w:p w:rsidR="00B60B52" w:rsidRDefault="00B60B52">
      <w:pPr>
        <w:pStyle w:val="Standard"/>
        <w:rPr>
          <w:sz w:val="20"/>
          <w:szCs w:val="20"/>
        </w:rPr>
      </w:pPr>
    </w:p>
    <w:p w:rsidR="00B60B52" w:rsidRDefault="005B258C" w:rsidP="00011BE5">
      <w:pPr>
        <w:pStyle w:val="Standard"/>
        <w:jc w:val="right"/>
        <w:rPr>
          <w:sz w:val="20"/>
          <w:szCs w:val="20"/>
        </w:rPr>
      </w:pPr>
      <w:proofErr w:type="spellStart"/>
      <w:r w:rsidRPr="005B258C">
        <w:rPr>
          <w:rFonts w:ascii="Arial" w:eastAsia="Arial" w:hAnsi="Arial" w:cs="Arial"/>
          <w:b/>
          <w:bCs/>
          <w:color w:val="1FAFD6"/>
          <w:sz w:val="48"/>
          <w:szCs w:val="48"/>
        </w:rPr>
        <w:t>BluMarble</w:t>
      </w:r>
      <w:proofErr w:type="spellEnd"/>
      <w:r w:rsidRPr="005B258C">
        <w:rPr>
          <w:rFonts w:ascii="Arial" w:eastAsia="Arial" w:hAnsi="Arial" w:cs="Arial"/>
          <w:b/>
          <w:bCs/>
          <w:color w:val="1FAFD6"/>
          <w:sz w:val="48"/>
          <w:szCs w:val="48"/>
        </w:rPr>
        <w:t xml:space="preserve"> Pension Scheme</w:t>
      </w:r>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rPr>
          <w:sz w:val="20"/>
          <w:szCs w:val="20"/>
        </w:rPr>
      </w:pPr>
    </w:p>
    <w:p w:rsidR="00B60B52" w:rsidRDefault="003103A7" w:rsidP="003103A7">
      <w:pPr>
        <w:pStyle w:val="Standard"/>
        <w:tabs>
          <w:tab w:val="left" w:pos="6008"/>
        </w:tabs>
        <w:rPr>
          <w:sz w:val="20"/>
          <w:szCs w:val="20"/>
        </w:rPr>
      </w:pPr>
      <w:r>
        <w:rPr>
          <w:sz w:val="20"/>
          <w:szCs w:val="20"/>
        </w:rPr>
        <w:tab/>
      </w:r>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rPr>
          <w:sz w:val="20"/>
          <w:szCs w:val="20"/>
        </w:rPr>
      </w:pPr>
    </w:p>
    <w:p w:rsidR="007C0887" w:rsidRDefault="007C0887">
      <w:pPr>
        <w:pStyle w:val="Standard"/>
        <w:spacing w:before="72"/>
        <w:ind w:right="127"/>
        <w:jc w:val="right"/>
        <w:rPr>
          <w:rFonts w:ascii="Arial" w:eastAsia="Arial" w:hAnsi="Arial" w:cs="Arial"/>
        </w:rPr>
      </w:pPr>
    </w:p>
    <w:p w:rsidR="007C0887" w:rsidRDefault="007C0887">
      <w:pPr>
        <w:pStyle w:val="Standard"/>
        <w:spacing w:before="72"/>
        <w:ind w:right="127"/>
        <w:jc w:val="right"/>
        <w:rPr>
          <w:rFonts w:ascii="Arial" w:eastAsia="Arial" w:hAnsi="Arial" w:cs="Arial"/>
        </w:rPr>
      </w:pPr>
    </w:p>
    <w:p w:rsidR="00B60B52" w:rsidRDefault="004271FF">
      <w:pPr>
        <w:pStyle w:val="Standard"/>
        <w:spacing w:before="72"/>
        <w:ind w:right="127"/>
        <w:jc w:val="right"/>
      </w:pPr>
      <w:r>
        <w:rPr>
          <w:rFonts w:ascii="Arial" w:eastAsia="Arial" w:hAnsi="Arial" w:cs="Arial"/>
        </w:rPr>
        <w:t>Prepared by</w:t>
      </w:r>
    </w:p>
    <w:p w:rsidR="00B60B52" w:rsidRDefault="0015390C">
      <w:pPr>
        <w:pStyle w:val="Standard"/>
        <w:spacing w:before="70"/>
        <w:ind w:left="5478"/>
      </w:pPr>
      <w:r w:rsidRPr="0015390C">
        <w:rPr>
          <w:noProof/>
        </w:rPr>
        <w:drawing>
          <wp:anchor distT="0" distB="0" distL="114300" distR="114300" simplePos="0" relativeHeight="251662336" behindDoc="0" locked="0" layoutInCell="1" allowOverlap="1">
            <wp:simplePos x="0" y="0"/>
            <wp:positionH relativeFrom="column">
              <wp:posOffset>3506746</wp:posOffset>
            </wp:positionH>
            <wp:positionV relativeFrom="paragraph">
              <wp:posOffset>169517</wp:posOffset>
            </wp:positionV>
            <wp:extent cx="2255023" cy="469127"/>
            <wp:effectExtent l="19050" t="0" r="0" b="0"/>
            <wp:wrapNone/>
            <wp:docPr id="1" name="Picture 21" descr="PP-logo-master-outlin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P-logo-master-outlined.png"/>
                    <pic:cNvPicPr/>
                  </pic:nvPicPr>
                  <pic:blipFill>
                    <a:blip r:embed="rId8" cstate="print"/>
                    <a:stretch>
                      <a:fillRect/>
                    </a:stretch>
                  </pic:blipFill>
                  <pic:spPr>
                    <a:xfrm>
                      <a:off x="0" y="0"/>
                      <a:ext cx="2255023" cy="469127"/>
                    </a:xfrm>
                    <a:prstGeom prst="rect">
                      <a:avLst/>
                    </a:prstGeom>
                  </pic:spPr>
                </pic:pic>
              </a:graphicData>
            </a:graphic>
          </wp:anchor>
        </w:drawing>
      </w:r>
    </w:p>
    <w:p w:rsidR="00B60B52" w:rsidRDefault="00B60B52">
      <w:pPr>
        <w:pStyle w:val="Standard"/>
        <w:pageBreakBefore/>
        <w:spacing w:before="7"/>
        <w:rPr>
          <w:rFonts w:ascii="Times New Roman" w:eastAsia="Times New Roman" w:hAnsi="Times New Roman" w:cs="Times New Roman"/>
          <w:sz w:val="20"/>
          <w:szCs w:val="20"/>
        </w:rPr>
      </w:pPr>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rPr>
          <w:sz w:val="20"/>
          <w:szCs w:val="20"/>
        </w:rPr>
      </w:pPr>
    </w:p>
    <w:p w:rsidR="00B60B52" w:rsidRDefault="004271FF">
      <w:pPr>
        <w:pStyle w:val="Heading1"/>
        <w:spacing w:before="38"/>
        <w:ind w:left="1382" w:firstLine="0"/>
      </w:pPr>
      <w:r>
        <w:rPr>
          <w:color w:val="1FAFD6"/>
        </w:rPr>
        <w:t>Index</w:t>
      </w:r>
    </w:p>
    <w:p w:rsidR="00B60B52" w:rsidRDefault="00B60B52">
      <w:pPr>
        <w:pStyle w:val="Standard"/>
        <w:spacing w:before="4"/>
        <w:rPr>
          <w:sz w:val="18"/>
          <w:szCs w:val="18"/>
        </w:rPr>
      </w:pPr>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rPr>
          <w:sz w:val="20"/>
          <w:szCs w:val="20"/>
        </w:rPr>
      </w:pPr>
    </w:p>
    <w:p w:rsidR="00B60B52" w:rsidRDefault="004271FF">
      <w:pPr>
        <w:pStyle w:val="Standard"/>
        <w:numPr>
          <w:ilvl w:val="0"/>
          <w:numId w:val="6"/>
        </w:numPr>
      </w:pPr>
      <w:r>
        <w:rPr>
          <w:rFonts w:ascii="Arial" w:eastAsia="Arial" w:hAnsi="Arial" w:cs="Arial"/>
        </w:rPr>
        <w:t>Introduction</w:t>
      </w:r>
    </w:p>
    <w:p w:rsidR="00B60B52" w:rsidRDefault="00B60B52">
      <w:pPr>
        <w:pStyle w:val="Standard"/>
        <w:rPr>
          <w:sz w:val="24"/>
          <w:szCs w:val="24"/>
        </w:rPr>
      </w:pPr>
    </w:p>
    <w:p w:rsidR="00B60B52" w:rsidRDefault="004271FF" w:rsidP="00A038CC">
      <w:pPr>
        <w:pStyle w:val="Standard"/>
        <w:numPr>
          <w:ilvl w:val="0"/>
          <w:numId w:val="6"/>
        </w:numPr>
      </w:pPr>
      <w:r>
        <w:rPr>
          <w:rFonts w:ascii="Arial" w:eastAsia="Arial" w:hAnsi="Arial" w:cs="Arial"/>
        </w:rPr>
        <w:t>Pension scheme return</w:t>
      </w:r>
    </w:p>
    <w:p w:rsidR="00B60B52" w:rsidRDefault="00B60B52">
      <w:pPr>
        <w:pStyle w:val="Standard"/>
        <w:spacing w:before="20"/>
      </w:pPr>
    </w:p>
    <w:p w:rsidR="00B60B52" w:rsidRDefault="004271FF" w:rsidP="00A038CC">
      <w:pPr>
        <w:pStyle w:val="Standard"/>
        <w:numPr>
          <w:ilvl w:val="0"/>
          <w:numId w:val="6"/>
        </w:numPr>
      </w:pPr>
      <w:r>
        <w:rPr>
          <w:rFonts w:ascii="Arial" w:eastAsia="Arial" w:hAnsi="Arial" w:cs="Arial"/>
        </w:rPr>
        <w:t xml:space="preserve">Inflation report </w:t>
      </w:r>
    </w:p>
    <w:p w:rsidR="00B60B52" w:rsidRDefault="00B60B52">
      <w:pPr>
        <w:pStyle w:val="Standard"/>
        <w:tabs>
          <w:tab w:val="left" w:pos="1666"/>
        </w:tabs>
        <w:rPr>
          <w:rFonts w:ascii="Arial" w:eastAsia="Arial" w:hAnsi="Arial" w:cs="Arial"/>
        </w:rPr>
      </w:pPr>
    </w:p>
    <w:p w:rsidR="00B60B52" w:rsidRDefault="004271FF" w:rsidP="00A038CC">
      <w:pPr>
        <w:pStyle w:val="Standard"/>
        <w:numPr>
          <w:ilvl w:val="0"/>
          <w:numId w:val="6"/>
        </w:numPr>
      </w:pPr>
      <w:r>
        <w:rPr>
          <w:rFonts w:ascii="Arial" w:eastAsia="Arial" w:hAnsi="Arial" w:cs="Arial"/>
        </w:rPr>
        <w:t>Economic and markets report</w:t>
      </w:r>
    </w:p>
    <w:p w:rsidR="00B60B52" w:rsidRDefault="00B60B52">
      <w:pPr>
        <w:pStyle w:val="Standard"/>
        <w:spacing w:before="20"/>
      </w:pPr>
    </w:p>
    <w:p w:rsidR="00B60B52" w:rsidRDefault="004271FF" w:rsidP="00A038CC">
      <w:pPr>
        <w:pStyle w:val="Standard"/>
        <w:numPr>
          <w:ilvl w:val="0"/>
          <w:numId w:val="6"/>
        </w:numPr>
      </w:pPr>
      <w:r>
        <w:rPr>
          <w:rFonts w:ascii="Arial" w:eastAsia="Arial" w:hAnsi="Arial" w:cs="Arial"/>
        </w:rPr>
        <w:t>New pension rules</w:t>
      </w:r>
    </w:p>
    <w:p w:rsidR="00B60B52" w:rsidRDefault="00B60B52">
      <w:pPr>
        <w:pStyle w:val="Standard"/>
        <w:tabs>
          <w:tab w:val="left" w:pos="1666"/>
        </w:tabs>
        <w:rPr>
          <w:rFonts w:ascii="Arial" w:eastAsia="Arial" w:hAnsi="Arial" w:cs="Arial"/>
        </w:rPr>
      </w:pPr>
    </w:p>
    <w:p w:rsidR="00B60B52" w:rsidRDefault="004271FF" w:rsidP="00A038CC">
      <w:pPr>
        <w:pStyle w:val="Standard"/>
        <w:numPr>
          <w:ilvl w:val="0"/>
          <w:numId w:val="6"/>
        </w:numPr>
      </w:pPr>
      <w:r>
        <w:rPr>
          <w:rFonts w:ascii="Arial" w:eastAsia="Arial" w:hAnsi="Arial" w:cs="Arial"/>
        </w:rPr>
        <w:t>The beneficiaries of your pension</w:t>
      </w:r>
    </w:p>
    <w:p w:rsidR="00B60B52" w:rsidRDefault="00B60B52">
      <w:pPr>
        <w:pStyle w:val="Standard"/>
        <w:tabs>
          <w:tab w:val="left" w:pos="1666"/>
        </w:tabs>
        <w:rPr>
          <w:rFonts w:ascii="Arial" w:eastAsia="Arial" w:hAnsi="Arial" w:cs="Arial"/>
        </w:rPr>
      </w:pPr>
    </w:p>
    <w:p w:rsidR="00B60B52" w:rsidRDefault="004271FF" w:rsidP="00A038CC">
      <w:pPr>
        <w:pStyle w:val="Standard"/>
        <w:numPr>
          <w:ilvl w:val="0"/>
          <w:numId w:val="6"/>
        </w:numPr>
      </w:pPr>
      <w:r>
        <w:rPr>
          <w:rFonts w:ascii="Arial" w:eastAsia="Arial" w:hAnsi="Arial" w:cs="Arial"/>
        </w:rPr>
        <w:t xml:space="preserve">New services </w:t>
      </w:r>
    </w:p>
    <w:p w:rsidR="00B60B52" w:rsidRDefault="00B60B52">
      <w:pPr>
        <w:pStyle w:val="Standard"/>
        <w:pageBreakBefore/>
        <w:spacing w:before="7"/>
      </w:pPr>
    </w:p>
    <w:p w:rsidR="00B60B52" w:rsidRDefault="004271FF">
      <w:pPr>
        <w:pStyle w:val="Standard"/>
        <w:numPr>
          <w:ilvl w:val="0"/>
          <w:numId w:val="13"/>
        </w:numPr>
        <w:ind w:right="4285"/>
        <w:jc w:val="both"/>
      </w:pPr>
      <w:r>
        <w:rPr>
          <w:rFonts w:ascii="Arial" w:eastAsia="Arial" w:hAnsi="Arial" w:cs="Arial"/>
          <w:b/>
          <w:bCs/>
          <w:color w:val="1FAFD6"/>
          <w:sz w:val="48"/>
          <w:szCs w:val="48"/>
        </w:rPr>
        <w:t>Introduction</w:t>
      </w:r>
    </w:p>
    <w:p w:rsidR="00B60B52" w:rsidRDefault="00B60B52">
      <w:pPr>
        <w:pStyle w:val="Standard"/>
        <w:spacing w:before="2"/>
        <w:rPr>
          <w:sz w:val="16"/>
          <w:szCs w:val="16"/>
        </w:rPr>
      </w:pPr>
    </w:p>
    <w:p w:rsidR="00B60B52" w:rsidRDefault="00B60B52">
      <w:pPr>
        <w:pStyle w:val="Standard"/>
        <w:rPr>
          <w:sz w:val="20"/>
          <w:szCs w:val="20"/>
        </w:rPr>
      </w:pPr>
    </w:p>
    <w:p w:rsidR="00B60B52" w:rsidRDefault="00B60B52">
      <w:pPr>
        <w:pStyle w:val="Standard"/>
        <w:rPr>
          <w:sz w:val="20"/>
          <w:szCs w:val="20"/>
        </w:rPr>
      </w:pPr>
    </w:p>
    <w:p w:rsidR="00B60B52" w:rsidRDefault="004271FF">
      <w:pPr>
        <w:pStyle w:val="Standard"/>
        <w:spacing w:line="276" w:lineRule="auto"/>
        <w:ind w:left="1382" w:right="114"/>
        <w:jc w:val="both"/>
      </w:pPr>
      <w:r>
        <w:rPr>
          <w:rFonts w:ascii="Arial" w:eastAsia="Arial" w:hAnsi="Arial" w:cs="Arial"/>
        </w:rPr>
        <w:t>We are pleased to enclose our annual report to the Trustees following completion of your tax return.</w:t>
      </w:r>
    </w:p>
    <w:p w:rsidR="00B60B52" w:rsidRDefault="00B60B52">
      <w:pPr>
        <w:pStyle w:val="Standard"/>
        <w:spacing w:before="3"/>
        <w:rPr>
          <w:sz w:val="20"/>
          <w:szCs w:val="20"/>
        </w:rPr>
      </w:pPr>
    </w:p>
    <w:p w:rsidR="00B60B52" w:rsidRDefault="004271FF">
      <w:pPr>
        <w:pStyle w:val="Standard"/>
        <w:spacing w:line="276" w:lineRule="auto"/>
        <w:ind w:left="1382" w:right="107"/>
        <w:jc w:val="both"/>
      </w:pPr>
      <w:r>
        <w:rPr>
          <w:rFonts w:ascii="Arial" w:eastAsia="Arial" w:hAnsi="Arial" w:cs="Arial"/>
        </w:rPr>
        <w:t>This report provides a copy of our tax submissions to HM Revenue &amp; Customs on your behalf, together with our comments where relevant. Please take the time to review this and advise us of anything that you are not in agreement with.</w:t>
      </w:r>
    </w:p>
    <w:p w:rsidR="00B60B52" w:rsidRDefault="00B60B52">
      <w:pPr>
        <w:pStyle w:val="Standard"/>
        <w:rPr>
          <w:sz w:val="20"/>
          <w:szCs w:val="20"/>
        </w:rPr>
      </w:pPr>
    </w:p>
    <w:p w:rsidR="00B60B52" w:rsidRDefault="004271FF" w:rsidP="003258FA">
      <w:pPr>
        <w:pStyle w:val="Standard"/>
        <w:ind w:left="1382" w:right="1186"/>
        <w:jc w:val="both"/>
      </w:pPr>
      <w:r>
        <w:rPr>
          <w:rFonts w:ascii="Arial" w:eastAsia="Arial" w:hAnsi="Arial" w:cs="Arial"/>
        </w:rPr>
        <w:t xml:space="preserve">In addition to this, we have </w:t>
      </w:r>
      <w:r w:rsidR="003258FA">
        <w:rPr>
          <w:rFonts w:ascii="Arial" w:eastAsia="Arial" w:hAnsi="Arial" w:cs="Arial"/>
        </w:rPr>
        <w:t xml:space="preserve">also prepared the following for </w:t>
      </w:r>
      <w:r>
        <w:rPr>
          <w:rFonts w:ascii="Arial" w:eastAsia="Arial" w:hAnsi="Arial" w:cs="Arial"/>
        </w:rPr>
        <w:t>you:</w:t>
      </w:r>
    </w:p>
    <w:p w:rsidR="00B60B52" w:rsidRDefault="00B60B52">
      <w:pPr>
        <w:pStyle w:val="Standard"/>
        <w:spacing w:before="19"/>
      </w:pPr>
    </w:p>
    <w:p w:rsidR="00B60B52" w:rsidRDefault="004271FF" w:rsidP="003258FA">
      <w:pPr>
        <w:pStyle w:val="Standard"/>
        <w:numPr>
          <w:ilvl w:val="2"/>
          <w:numId w:val="2"/>
        </w:numPr>
        <w:spacing w:line="273" w:lineRule="auto"/>
        <w:ind w:right="108"/>
        <w:jc w:val="both"/>
      </w:pPr>
      <w:r>
        <w:rPr>
          <w:rFonts w:ascii="Arial" w:eastAsia="Arial" w:hAnsi="Arial" w:cs="Arial"/>
        </w:rPr>
        <w:t>Inflation report and outlook for 2015/16. The purpose of the inflation report is to help your investment decisions, having regard to the likely direction of inflation over the next 12 months.</w:t>
      </w:r>
    </w:p>
    <w:p w:rsidR="00B60B52" w:rsidRDefault="00B60B52">
      <w:pPr>
        <w:pStyle w:val="Standard"/>
        <w:spacing w:before="4"/>
        <w:rPr>
          <w:sz w:val="20"/>
          <w:szCs w:val="20"/>
        </w:rPr>
      </w:pPr>
    </w:p>
    <w:p w:rsidR="00B60B52" w:rsidRDefault="004271FF" w:rsidP="003258FA">
      <w:pPr>
        <w:pStyle w:val="Standard"/>
        <w:numPr>
          <w:ilvl w:val="2"/>
          <w:numId w:val="2"/>
        </w:numPr>
        <w:spacing w:line="273" w:lineRule="auto"/>
        <w:ind w:right="112"/>
        <w:jc w:val="both"/>
      </w:pPr>
      <w:r>
        <w:rPr>
          <w:rFonts w:ascii="Arial" w:eastAsia="Arial" w:hAnsi="Arial" w:cs="Arial"/>
        </w:rPr>
        <w:t>Economic and markets report. This summarises in what markets returns are being made, and the likely return on certain asset classes, such as property and equities for the next 12 months.</w:t>
      </w:r>
    </w:p>
    <w:p w:rsidR="00B60B52" w:rsidRDefault="00B60B52">
      <w:pPr>
        <w:pStyle w:val="Standard"/>
        <w:spacing w:before="4"/>
        <w:rPr>
          <w:sz w:val="20"/>
          <w:szCs w:val="20"/>
        </w:rPr>
      </w:pPr>
    </w:p>
    <w:p w:rsidR="003258FA" w:rsidRPr="003258FA" w:rsidRDefault="004271FF" w:rsidP="003258FA">
      <w:pPr>
        <w:pStyle w:val="Standard"/>
        <w:numPr>
          <w:ilvl w:val="2"/>
          <w:numId w:val="2"/>
        </w:numPr>
        <w:spacing w:line="276" w:lineRule="auto"/>
        <w:ind w:right="110"/>
        <w:jc w:val="both"/>
      </w:pPr>
      <w:r>
        <w:rPr>
          <w:rFonts w:ascii="Arial" w:eastAsia="Arial" w:hAnsi="Arial" w:cs="Arial"/>
        </w:rPr>
        <w:t>A recent news update in the pensions industry. There have been a number of changes since April 2015 and we have summarised the key issues and how you may be affected.</w:t>
      </w:r>
    </w:p>
    <w:p w:rsidR="00B60B52" w:rsidRDefault="00B60B52" w:rsidP="003258FA">
      <w:pPr>
        <w:pStyle w:val="Standard"/>
        <w:spacing w:line="276" w:lineRule="auto"/>
        <w:ind w:right="110"/>
        <w:jc w:val="both"/>
      </w:pPr>
    </w:p>
    <w:p w:rsidR="00B60B52" w:rsidRDefault="004271FF" w:rsidP="003258FA">
      <w:pPr>
        <w:pStyle w:val="Standard"/>
        <w:numPr>
          <w:ilvl w:val="2"/>
          <w:numId w:val="2"/>
        </w:numPr>
        <w:spacing w:line="276" w:lineRule="auto"/>
        <w:ind w:right="110"/>
        <w:jc w:val="both"/>
      </w:pPr>
      <w:r>
        <w:rPr>
          <w:rFonts w:ascii="Arial" w:eastAsia="Arial" w:hAnsi="Arial" w:cs="Arial"/>
        </w:rPr>
        <w:t>The rules have changed relating to how pensions are distributed on death. We have summarised these changes for you and in particular, highlighted where pension planning is needed.</w:t>
      </w:r>
    </w:p>
    <w:p w:rsidR="00B60B52" w:rsidRDefault="00B60B52">
      <w:pPr>
        <w:pStyle w:val="Standard"/>
        <w:tabs>
          <w:tab w:val="left" w:pos="2103"/>
        </w:tabs>
        <w:spacing w:line="276" w:lineRule="auto"/>
        <w:ind w:left="720" w:right="110"/>
        <w:jc w:val="both"/>
        <w:rPr>
          <w:rFonts w:ascii="Arial" w:eastAsia="Arial" w:hAnsi="Arial" w:cs="Arial"/>
        </w:rPr>
      </w:pPr>
    </w:p>
    <w:p w:rsidR="00B60B52" w:rsidRDefault="004271FF" w:rsidP="003258FA">
      <w:pPr>
        <w:pStyle w:val="Standard"/>
        <w:numPr>
          <w:ilvl w:val="2"/>
          <w:numId w:val="2"/>
        </w:numPr>
        <w:spacing w:line="276" w:lineRule="auto"/>
        <w:ind w:right="110"/>
        <w:jc w:val="both"/>
      </w:pPr>
      <w:r>
        <w:rPr>
          <w:rFonts w:ascii="Arial" w:eastAsia="Arial" w:hAnsi="Arial" w:cs="Arial"/>
        </w:rPr>
        <w:t>We are pleased to announce the introduction of new services to help you and your business with your pension planning requirements; in particular the new legal requirement to provide a pension where you employ others.</w:t>
      </w:r>
    </w:p>
    <w:p w:rsidR="00B60B52" w:rsidRDefault="00B60B52">
      <w:pPr>
        <w:pStyle w:val="Standard"/>
        <w:rPr>
          <w:sz w:val="20"/>
          <w:szCs w:val="20"/>
        </w:rPr>
      </w:pPr>
    </w:p>
    <w:p w:rsidR="00B60B52" w:rsidRDefault="004271FF">
      <w:pPr>
        <w:pStyle w:val="Standard"/>
        <w:spacing w:line="276" w:lineRule="auto"/>
        <w:ind w:left="1382" w:right="109"/>
        <w:jc w:val="both"/>
      </w:pPr>
      <w:r>
        <w:rPr>
          <w:rFonts w:ascii="Arial" w:eastAsia="Arial" w:hAnsi="Arial" w:cs="Arial"/>
        </w:rPr>
        <w:t>Our role is to ensure that the tax privileges for your pension scheme are maintained. In addition, we seek to add value by providing you with information so that in conjunction with your investment advisor you maximise the growth of your pension fund, in a tax efficient way for you and your business.</w:t>
      </w:r>
    </w:p>
    <w:p w:rsidR="00B60B52" w:rsidRDefault="00B60B52">
      <w:pPr>
        <w:pStyle w:val="Standard"/>
        <w:rPr>
          <w:sz w:val="20"/>
          <w:szCs w:val="20"/>
        </w:rPr>
      </w:pPr>
    </w:p>
    <w:p w:rsidR="00B60B52" w:rsidRDefault="004271FF">
      <w:pPr>
        <w:pStyle w:val="Standard"/>
        <w:spacing w:line="276" w:lineRule="auto"/>
        <w:ind w:left="1382" w:right="109"/>
        <w:jc w:val="both"/>
      </w:pPr>
      <w:r>
        <w:rPr>
          <w:rFonts w:ascii="Arial" w:eastAsia="Arial" w:hAnsi="Arial" w:cs="Arial"/>
        </w:rPr>
        <w:t>Finally, thank you for choosing us to act as the Practitioner for your pension scheme.</w:t>
      </w:r>
    </w:p>
    <w:p w:rsidR="00B60B52" w:rsidRDefault="00B60B52">
      <w:pPr>
        <w:pStyle w:val="Standard"/>
        <w:pageBreakBefore/>
        <w:spacing w:before="7"/>
      </w:pPr>
    </w:p>
    <w:p w:rsidR="003258FA" w:rsidRDefault="003258FA" w:rsidP="003258FA">
      <w:pPr>
        <w:pStyle w:val="Standard"/>
        <w:numPr>
          <w:ilvl w:val="0"/>
          <w:numId w:val="13"/>
        </w:numPr>
        <w:ind w:right="1469"/>
        <w:jc w:val="both"/>
      </w:pPr>
      <w:r>
        <w:rPr>
          <w:rFonts w:ascii="Arial" w:eastAsia="Arial" w:hAnsi="Arial" w:cs="Arial"/>
          <w:b/>
          <w:bCs/>
          <w:color w:val="1FAFD6"/>
          <w:sz w:val="48"/>
          <w:szCs w:val="48"/>
        </w:rPr>
        <w:t>Pension Scheme Return</w:t>
      </w:r>
    </w:p>
    <w:p w:rsidR="00B60B52" w:rsidRDefault="00B60B52" w:rsidP="003258FA">
      <w:pPr>
        <w:pStyle w:val="Heading1"/>
        <w:tabs>
          <w:tab w:val="left" w:pos="3836"/>
        </w:tabs>
        <w:ind w:left="360" w:firstLine="0"/>
      </w:pPr>
    </w:p>
    <w:p w:rsidR="006F2618" w:rsidRDefault="000D448E" w:rsidP="006F2618">
      <w:pPr>
        <w:suppressAutoHyphens w:val="0"/>
        <w:overflowPunct/>
        <w:autoSpaceDE/>
        <w:autoSpaceDN/>
        <w:textAlignment w:val="auto"/>
        <w:rPr>
          <w:rFonts w:ascii="Arial" w:eastAsia="Arial" w:hAnsi="Arial" w:cs="Arial"/>
          <w:b/>
          <w:color w:val="000000"/>
          <w:sz w:val="22"/>
          <w:szCs w:val="22"/>
        </w:rPr>
      </w:pPr>
      <w:r w:rsidRPr="000D448E">
        <w:rPr>
          <w:rFonts w:ascii="Arial" w:eastAsia="Arial" w:hAnsi="Arial" w:cs="Arial"/>
          <w:b/>
          <w:color w:val="000000"/>
          <w:sz w:val="22"/>
          <w:szCs w:val="22"/>
        </w:rPr>
        <w:t>Details</w:t>
      </w:r>
    </w:p>
    <w:p w:rsidR="00011BE5" w:rsidRPr="006F2618" w:rsidRDefault="00011BE5" w:rsidP="006F2618">
      <w:pPr>
        <w:suppressAutoHyphens w:val="0"/>
        <w:overflowPunct/>
        <w:autoSpaceDE/>
        <w:autoSpaceDN/>
        <w:textAlignment w:val="auto"/>
        <w:rPr>
          <w:rFonts w:ascii="Arial" w:eastAsia="Arial" w:hAnsi="Arial" w:cs="Arial"/>
          <w:b/>
          <w:color w:val="000000"/>
          <w:sz w:val="22"/>
          <w:szCs w:val="22"/>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049"/>
        <w:gridCol w:w="431"/>
        <w:gridCol w:w="3650"/>
      </w:tblGrid>
      <w:tr w:rsidR="00E95ADD" w:rsidRPr="00E95ADD" w:rsidTr="00E95ADD">
        <w:trPr>
          <w:tblCellSpacing w:w="15" w:type="dxa"/>
        </w:trPr>
        <w:tc>
          <w:tcPr>
            <w:tcW w:w="2500" w:type="pct"/>
            <w:vAlign w:val="center"/>
            <w:hideMark/>
          </w:tcPr>
          <w:p w:rsidR="00E95ADD" w:rsidRPr="00E95ADD" w:rsidRDefault="00E95ADD" w:rsidP="00E95ADD">
            <w:pPr>
              <w:suppressAutoHyphens w:val="0"/>
              <w:overflowPunct/>
              <w:autoSpaceDE/>
              <w:autoSpaceDN/>
              <w:textAlignment w:val="auto"/>
              <w:rPr>
                <w:rFonts w:ascii="Arial" w:eastAsia="Arial" w:hAnsi="Arial" w:cs="Arial"/>
                <w:color w:val="000000"/>
                <w:sz w:val="22"/>
                <w:szCs w:val="22"/>
              </w:rPr>
            </w:pPr>
            <w:r w:rsidRPr="00E95ADD">
              <w:rPr>
                <w:rFonts w:ascii="Arial" w:eastAsia="Arial" w:hAnsi="Arial" w:cs="Arial"/>
                <w:color w:val="000000"/>
                <w:sz w:val="22"/>
                <w:szCs w:val="22"/>
              </w:rPr>
              <w:t>Pension Scheme Tax Reference</w:t>
            </w:r>
          </w:p>
        </w:tc>
        <w:tc>
          <w:tcPr>
            <w:tcW w:w="250" w:type="pct"/>
            <w:vAlign w:val="center"/>
            <w:hideMark/>
          </w:tcPr>
          <w:p w:rsidR="00E95ADD" w:rsidRPr="00E95ADD" w:rsidRDefault="00E95ADD" w:rsidP="00E95ADD">
            <w:pPr>
              <w:suppressAutoHyphens w:val="0"/>
              <w:overflowPunct/>
              <w:autoSpaceDE/>
              <w:autoSpaceDN/>
              <w:textAlignment w:val="auto"/>
              <w:rPr>
                <w:rFonts w:ascii="Arial" w:eastAsia="Arial" w:hAnsi="Arial" w:cs="Arial"/>
                <w:color w:val="000000"/>
                <w:sz w:val="22"/>
                <w:szCs w:val="22"/>
              </w:rPr>
            </w:pPr>
          </w:p>
        </w:tc>
        <w:tc>
          <w:tcPr>
            <w:tcW w:w="0" w:type="auto"/>
            <w:vAlign w:val="center"/>
            <w:hideMark/>
          </w:tcPr>
          <w:p w:rsidR="00E95ADD" w:rsidRPr="00E95ADD" w:rsidRDefault="00E95ADD" w:rsidP="00E95ADD">
            <w:pPr>
              <w:suppressAutoHyphens w:val="0"/>
              <w:overflowPunct/>
              <w:autoSpaceDE/>
              <w:autoSpaceDN/>
              <w:textAlignment w:val="auto"/>
              <w:rPr>
                <w:rFonts w:ascii="Arial" w:eastAsia="Arial" w:hAnsi="Arial" w:cs="Arial"/>
                <w:color w:val="000000"/>
                <w:sz w:val="22"/>
                <w:szCs w:val="22"/>
              </w:rPr>
            </w:pPr>
            <w:r w:rsidRPr="00E95ADD">
              <w:rPr>
                <w:rFonts w:ascii="Arial" w:eastAsia="Arial" w:hAnsi="Arial" w:cs="Arial"/>
                <w:color w:val="000000"/>
                <w:sz w:val="22"/>
                <w:szCs w:val="22"/>
              </w:rPr>
              <w:t>00804431RB</w:t>
            </w:r>
          </w:p>
        </w:tc>
      </w:tr>
      <w:tr w:rsidR="00E95ADD" w:rsidRPr="00E95ADD" w:rsidTr="00E95ADD">
        <w:trPr>
          <w:tblCellSpacing w:w="15" w:type="dxa"/>
        </w:trPr>
        <w:tc>
          <w:tcPr>
            <w:tcW w:w="0" w:type="auto"/>
            <w:hideMark/>
          </w:tcPr>
          <w:p w:rsidR="00E95ADD" w:rsidRPr="00E95ADD" w:rsidRDefault="00E95ADD" w:rsidP="00E95ADD">
            <w:pPr>
              <w:suppressAutoHyphens w:val="0"/>
              <w:overflowPunct/>
              <w:autoSpaceDE/>
              <w:autoSpaceDN/>
              <w:textAlignment w:val="auto"/>
              <w:rPr>
                <w:rFonts w:ascii="Arial" w:eastAsia="Arial" w:hAnsi="Arial" w:cs="Arial"/>
                <w:color w:val="000000"/>
                <w:sz w:val="22"/>
                <w:szCs w:val="22"/>
              </w:rPr>
            </w:pPr>
            <w:r w:rsidRPr="00E95ADD">
              <w:rPr>
                <w:rFonts w:ascii="Arial" w:eastAsia="Arial" w:hAnsi="Arial" w:cs="Arial"/>
                <w:color w:val="000000"/>
                <w:sz w:val="22"/>
                <w:szCs w:val="22"/>
              </w:rPr>
              <w:t>Pension Scheme Name</w:t>
            </w:r>
          </w:p>
        </w:tc>
        <w:tc>
          <w:tcPr>
            <w:tcW w:w="0" w:type="auto"/>
            <w:vAlign w:val="center"/>
            <w:hideMark/>
          </w:tcPr>
          <w:p w:rsidR="00E95ADD" w:rsidRPr="00E95ADD" w:rsidRDefault="00E95ADD" w:rsidP="00E95ADD">
            <w:pPr>
              <w:suppressAutoHyphens w:val="0"/>
              <w:overflowPunct/>
              <w:autoSpaceDE/>
              <w:autoSpaceDN/>
              <w:textAlignment w:val="auto"/>
              <w:rPr>
                <w:rFonts w:ascii="Arial" w:eastAsia="Arial" w:hAnsi="Arial" w:cs="Arial"/>
                <w:color w:val="000000"/>
                <w:sz w:val="22"/>
                <w:szCs w:val="22"/>
              </w:rPr>
            </w:pPr>
          </w:p>
        </w:tc>
        <w:tc>
          <w:tcPr>
            <w:tcW w:w="0" w:type="auto"/>
            <w:hideMark/>
          </w:tcPr>
          <w:p w:rsidR="00E95ADD" w:rsidRPr="00E95ADD" w:rsidRDefault="00E95ADD" w:rsidP="00E95ADD">
            <w:pPr>
              <w:suppressAutoHyphens w:val="0"/>
              <w:overflowPunct/>
              <w:autoSpaceDE/>
              <w:autoSpaceDN/>
              <w:textAlignment w:val="auto"/>
              <w:rPr>
                <w:rFonts w:ascii="Arial" w:eastAsia="Arial" w:hAnsi="Arial" w:cs="Arial"/>
                <w:color w:val="000000"/>
                <w:sz w:val="22"/>
                <w:szCs w:val="22"/>
              </w:rPr>
            </w:pPr>
            <w:proofErr w:type="spellStart"/>
            <w:r w:rsidRPr="00E95ADD">
              <w:rPr>
                <w:rFonts w:ascii="Arial" w:eastAsia="Arial" w:hAnsi="Arial" w:cs="Arial"/>
                <w:color w:val="000000"/>
                <w:sz w:val="22"/>
                <w:szCs w:val="22"/>
              </w:rPr>
              <w:t>BluMarble</w:t>
            </w:r>
            <w:proofErr w:type="spellEnd"/>
            <w:r w:rsidRPr="00E95ADD">
              <w:rPr>
                <w:rFonts w:ascii="Arial" w:eastAsia="Arial" w:hAnsi="Arial" w:cs="Arial"/>
                <w:color w:val="000000"/>
                <w:sz w:val="22"/>
                <w:szCs w:val="22"/>
              </w:rPr>
              <w:t xml:space="preserve"> Pension Scheme</w:t>
            </w:r>
          </w:p>
        </w:tc>
      </w:tr>
      <w:tr w:rsidR="00E95ADD" w:rsidRPr="00E95ADD" w:rsidTr="00E95ADD">
        <w:trPr>
          <w:tblCellSpacing w:w="15" w:type="dxa"/>
        </w:trPr>
        <w:tc>
          <w:tcPr>
            <w:tcW w:w="0" w:type="auto"/>
            <w:vAlign w:val="center"/>
            <w:hideMark/>
          </w:tcPr>
          <w:p w:rsidR="00E95ADD" w:rsidRPr="00E95ADD" w:rsidRDefault="00E95ADD" w:rsidP="00E95ADD">
            <w:pPr>
              <w:suppressAutoHyphens w:val="0"/>
              <w:overflowPunct/>
              <w:autoSpaceDE/>
              <w:autoSpaceDN/>
              <w:textAlignment w:val="auto"/>
              <w:rPr>
                <w:rFonts w:ascii="Arial" w:eastAsia="Arial" w:hAnsi="Arial" w:cs="Arial"/>
                <w:color w:val="000000"/>
                <w:sz w:val="22"/>
                <w:szCs w:val="22"/>
              </w:rPr>
            </w:pPr>
            <w:r w:rsidRPr="00E95ADD">
              <w:rPr>
                <w:rFonts w:ascii="Arial" w:eastAsia="Arial" w:hAnsi="Arial" w:cs="Arial"/>
                <w:color w:val="000000"/>
                <w:sz w:val="22"/>
                <w:szCs w:val="22"/>
              </w:rPr>
              <w:t>Is the scheme an Occupational scheme?</w:t>
            </w:r>
          </w:p>
        </w:tc>
        <w:tc>
          <w:tcPr>
            <w:tcW w:w="0" w:type="auto"/>
            <w:vAlign w:val="center"/>
            <w:hideMark/>
          </w:tcPr>
          <w:p w:rsidR="00E95ADD" w:rsidRPr="00E95ADD" w:rsidRDefault="00E95ADD" w:rsidP="00E95ADD">
            <w:pPr>
              <w:suppressAutoHyphens w:val="0"/>
              <w:overflowPunct/>
              <w:autoSpaceDE/>
              <w:autoSpaceDN/>
              <w:textAlignment w:val="auto"/>
              <w:rPr>
                <w:rFonts w:ascii="Arial" w:eastAsia="Arial" w:hAnsi="Arial" w:cs="Arial"/>
                <w:color w:val="000000"/>
                <w:sz w:val="22"/>
                <w:szCs w:val="22"/>
              </w:rPr>
            </w:pPr>
          </w:p>
        </w:tc>
        <w:tc>
          <w:tcPr>
            <w:tcW w:w="0" w:type="auto"/>
            <w:vAlign w:val="center"/>
            <w:hideMark/>
          </w:tcPr>
          <w:p w:rsidR="00E95ADD" w:rsidRPr="00E95ADD" w:rsidRDefault="00E95ADD" w:rsidP="00E95ADD">
            <w:pPr>
              <w:suppressAutoHyphens w:val="0"/>
              <w:overflowPunct/>
              <w:autoSpaceDE/>
              <w:autoSpaceDN/>
              <w:textAlignment w:val="auto"/>
              <w:rPr>
                <w:rFonts w:ascii="Arial" w:eastAsia="Arial" w:hAnsi="Arial" w:cs="Arial"/>
                <w:color w:val="000000"/>
                <w:sz w:val="22"/>
                <w:szCs w:val="22"/>
              </w:rPr>
            </w:pPr>
            <w:r w:rsidRPr="00E95ADD">
              <w:rPr>
                <w:rFonts w:ascii="Arial" w:eastAsia="Arial" w:hAnsi="Arial" w:cs="Arial"/>
                <w:color w:val="000000"/>
                <w:sz w:val="22"/>
                <w:szCs w:val="22"/>
              </w:rPr>
              <w:t>Yes</w:t>
            </w:r>
          </w:p>
        </w:tc>
      </w:tr>
      <w:tr w:rsidR="00E95ADD" w:rsidRPr="00E95ADD" w:rsidTr="00E95ADD">
        <w:trPr>
          <w:tblCellSpacing w:w="15" w:type="dxa"/>
        </w:trPr>
        <w:tc>
          <w:tcPr>
            <w:tcW w:w="0" w:type="auto"/>
            <w:vAlign w:val="center"/>
            <w:hideMark/>
          </w:tcPr>
          <w:p w:rsidR="00E95ADD" w:rsidRPr="00E95ADD" w:rsidRDefault="00E95ADD" w:rsidP="00E95ADD">
            <w:pPr>
              <w:suppressAutoHyphens w:val="0"/>
              <w:overflowPunct/>
              <w:autoSpaceDE/>
              <w:autoSpaceDN/>
              <w:textAlignment w:val="auto"/>
              <w:rPr>
                <w:rFonts w:ascii="Arial" w:eastAsia="Arial" w:hAnsi="Arial" w:cs="Arial"/>
                <w:color w:val="000000"/>
                <w:sz w:val="22"/>
                <w:szCs w:val="22"/>
              </w:rPr>
            </w:pPr>
            <w:r w:rsidRPr="00E95ADD">
              <w:rPr>
                <w:rFonts w:ascii="Arial" w:eastAsia="Arial" w:hAnsi="Arial" w:cs="Arial"/>
                <w:color w:val="000000"/>
                <w:sz w:val="22"/>
                <w:szCs w:val="22"/>
              </w:rPr>
              <w:t>Tax Year ended</w:t>
            </w:r>
          </w:p>
        </w:tc>
        <w:tc>
          <w:tcPr>
            <w:tcW w:w="0" w:type="auto"/>
            <w:vAlign w:val="center"/>
            <w:hideMark/>
          </w:tcPr>
          <w:p w:rsidR="00E95ADD" w:rsidRPr="00E95ADD" w:rsidRDefault="00E95ADD" w:rsidP="00E95ADD">
            <w:pPr>
              <w:suppressAutoHyphens w:val="0"/>
              <w:overflowPunct/>
              <w:autoSpaceDE/>
              <w:autoSpaceDN/>
              <w:textAlignment w:val="auto"/>
              <w:rPr>
                <w:rFonts w:ascii="Arial" w:eastAsia="Arial" w:hAnsi="Arial" w:cs="Arial"/>
                <w:color w:val="000000"/>
                <w:sz w:val="22"/>
                <w:szCs w:val="22"/>
              </w:rPr>
            </w:pPr>
          </w:p>
        </w:tc>
        <w:tc>
          <w:tcPr>
            <w:tcW w:w="0" w:type="auto"/>
            <w:vAlign w:val="center"/>
            <w:hideMark/>
          </w:tcPr>
          <w:p w:rsidR="00E95ADD" w:rsidRPr="00E95ADD" w:rsidRDefault="00E95ADD" w:rsidP="00E95ADD">
            <w:pPr>
              <w:suppressAutoHyphens w:val="0"/>
              <w:overflowPunct/>
              <w:autoSpaceDE/>
              <w:autoSpaceDN/>
              <w:textAlignment w:val="auto"/>
              <w:rPr>
                <w:rFonts w:ascii="Arial" w:eastAsia="Arial" w:hAnsi="Arial" w:cs="Arial"/>
                <w:color w:val="000000"/>
                <w:sz w:val="22"/>
                <w:szCs w:val="22"/>
              </w:rPr>
            </w:pPr>
            <w:r w:rsidRPr="00E95ADD">
              <w:rPr>
                <w:rFonts w:ascii="Arial" w:eastAsia="Arial" w:hAnsi="Arial" w:cs="Arial"/>
                <w:color w:val="000000"/>
                <w:sz w:val="22"/>
                <w:szCs w:val="22"/>
              </w:rPr>
              <w:t>05 Apr 2015</w:t>
            </w:r>
          </w:p>
        </w:tc>
      </w:tr>
      <w:tr w:rsidR="00E95ADD" w:rsidRPr="00E95ADD" w:rsidTr="00E95ADD">
        <w:trPr>
          <w:tblCellSpacing w:w="15" w:type="dxa"/>
        </w:trPr>
        <w:tc>
          <w:tcPr>
            <w:tcW w:w="0" w:type="auto"/>
            <w:vAlign w:val="center"/>
            <w:hideMark/>
          </w:tcPr>
          <w:p w:rsidR="00E95ADD" w:rsidRPr="00E95ADD" w:rsidRDefault="00E95ADD" w:rsidP="00E95ADD">
            <w:pPr>
              <w:suppressAutoHyphens w:val="0"/>
              <w:overflowPunct/>
              <w:autoSpaceDE/>
              <w:autoSpaceDN/>
              <w:textAlignment w:val="auto"/>
              <w:rPr>
                <w:rFonts w:ascii="Arial" w:eastAsia="Arial" w:hAnsi="Arial" w:cs="Arial"/>
                <w:color w:val="000000"/>
                <w:sz w:val="22"/>
                <w:szCs w:val="22"/>
              </w:rPr>
            </w:pPr>
            <w:r w:rsidRPr="00E95ADD">
              <w:rPr>
                <w:rFonts w:ascii="Arial" w:eastAsia="Arial" w:hAnsi="Arial" w:cs="Arial"/>
                <w:color w:val="000000"/>
                <w:sz w:val="22"/>
                <w:szCs w:val="22"/>
              </w:rPr>
              <w:t>Date submitted</w:t>
            </w:r>
          </w:p>
        </w:tc>
        <w:tc>
          <w:tcPr>
            <w:tcW w:w="0" w:type="auto"/>
            <w:vAlign w:val="center"/>
            <w:hideMark/>
          </w:tcPr>
          <w:p w:rsidR="00E95ADD" w:rsidRPr="00E95ADD" w:rsidRDefault="00E95ADD" w:rsidP="00E95ADD">
            <w:pPr>
              <w:suppressAutoHyphens w:val="0"/>
              <w:overflowPunct/>
              <w:autoSpaceDE/>
              <w:autoSpaceDN/>
              <w:textAlignment w:val="auto"/>
              <w:rPr>
                <w:rFonts w:ascii="Arial" w:eastAsia="Arial" w:hAnsi="Arial" w:cs="Arial"/>
                <w:color w:val="000000"/>
                <w:sz w:val="22"/>
                <w:szCs w:val="22"/>
              </w:rPr>
            </w:pPr>
          </w:p>
        </w:tc>
        <w:tc>
          <w:tcPr>
            <w:tcW w:w="0" w:type="auto"/>
            <w:vAlign w:val="center"/>
            <w:hideMark/>
          </w:tcPr>
          <w:p w:rsidR="00E95ADD" w:rsidRPr="00E95ADD" w:rsidRDefault="00E95ADD" w:rsidP="00E95ADD">
            <w:pPr>
              <w:suppressAutoHyphens w:val="0"/>
              <w:overflowPunct/>
              <w:autoSpaceDE/>
              <w:autoSpaceDN/>
              <w:textAlignment w:val="auto"/>
              <w:rPr>
                <w:rFonts w:ascii="Arial" w:eastAsia="Arial" w:hAnsi="Arial" w:cs="Arial"/>
                <w:color w:val="000000"/>
                <w:sz w:val="22"/>
                <w:szCs w:val="22"/>
              </w:rPr>
            </w:pPr>
            <w:r w:rsidRPr="00E95ADD">
              <w:rPr>
                <w:rFonts w:ascii="Arial" w:eastAsia="Arial" w:hAnsi="Arial" w:cs="Arial"/>
                <w:color w:val="000000"/>
                <w:sz w:val="22"/>
                <w:szCs w:val="22"/>
              </w:rPr>
              <w:t>27 May 2015</w:t>
            </w:r>
          </w:p>
        </w:tc>
      </w:tr>
      <w:tr w:rsidR="00E95ADD" w:rsidRPr="00E95ADD" w:rsidTr="00E95ADD">
        <w:trPr>
          <w:tblCellSpacing w:w="15" w:type="dxa"/>
        </w:trPr>
        <w:tc>
          <w:tcPr>
            <w:tcW w:w="0" w:type="auto"/>
            <w:vAlign w:val="center"/>
            <w:hideMark/>
          </w:tcPr>
          <w:p w:rsidR="00E95ADD" w:rsidRPr="00E95ADD" w:rsidRDefault="00E95ADD" w:rsidP="00E95ADD">
            <w:pPr>
              <w:suppressAutoHyphens w:val="0"/>
              <w:overflowPunct/>
              <w:autoSpaceDE/>
              <w:autoSpaceDN/>
              <w:textAlignment w:val="auto"/>
              <w:rPr>
                <w:rFonts w:ascii="Arial" w:eastAsia="Arial" w:hAnsi="Arial" w:cs="Arial"/>
                <w:color w:val="000000"/>
                <w:sz w:val="22"/>
                <w:szCs w:val="22"/>
              </w:rPr>
            </w:pPr>
            <w:r w:rsidRPr="00E95ADD">
              <w:rPr>
                <w:rFonts w:ascii="Arial" w:eastAsia="Arial" w:hAnsi="Arial" w:cs="Arial"/>
                <w:color w:val="000000"/>
                <w:sz w:val="22"/>
                <w:szCs w:val="22"/>
              </w:rPr>
              <w:t>Submitted by</w:t>
            </w:r>
          </w:p>
        </w:tc>
        <w:tc>
          <w:tcPr>
            <w:tcW w:w="0" w:type="auto"/>
            <w:vAlign w:val="center"/>
            <w:hideMark/>
          </w:tcPr>
          <w:p w:rsidR="00E95ADD" w:rsidRPr="00E95ADD" w:rsidRDefault="00E95ADD" w:rsidP="00E95ADD">
            <w:pPr>
              <w:suppressAutoHyphens w:val="0"/>
              <w:overflowPunct/>
              <w:autoSpaceDE/>
              <w:autoSpaceDN/>
              <w:textAlignment w:val="auto"/>
              <w:rPr>
                <w:rFonts w:ascii="Arial" w:eastAsia="Arial" w:hAnsi="Arial" w:cs="Arial"/>
                <w:color w:val="000000"/>
                <w:sz w:val="22"/>
                <w:szCs w:val="22"/>
              </w:rPr>
            </w:pPr>
          </w:p>
        </w:tc>
        <w:tc>
          <w:tcPr>
            <w:tcW w:w="0" w:type="auto"/>
            <w:vAlign w:val="center"/>
            <w:hideMark/>
          </w:tcPr>
          <w:p w:rsidR="00E95ADD" w:rsidRPr="00E95ADD" w:rsidRDefault="00E95ADD" w:rsidP="00E95ADD">
            <w:pPr>
              <w:suppressAutoHyphens w:val="0"/>
              <w:overflowPunct/>
              <w:autoSpaceDE/>
              <w:autoSpaceDN/>
              <w:textAlignment w:val="auto"/>
              <w:rPr>
                <w:rFonts w:ascii="Arial" w:eastAsia="Arial" w:hAnsi="Arial" w:cs="Arial"/>
                <w:color w:val="000000"/>
                <w:sz w:val="22"/>
                <w:szCs w:val="22"/>
              </w:rPr>
            </w:pPr>
            <w:r w:rsidRPr="00E95ADD">
              <w:rPr>
                <w:rFonts w:ascii="Arial" w:eastAsia="Arial" w:hAnsi="Arial" w:cs="Arial"/>
                <w:color w:val="000000"/>
                <w:sz w:val="22"/>
                <w:szCs w:val="22"/>
              </w:rPr>
              <w:t>Pension Practitioner .Com Limited</w:t>
            </w:r>
          </w:p>
        </w:tc>
      </w:tr>
      <w:tr w:rsidR="00E95ADD" w:rsidRPr="00E95ADD" w:rsidTr="00E95ADD">
        <w:trPr>
          <w:tblCellSpacing w:w="15" w:type="dxa"/>
        </w:trPr>
        <w:tc>
          <w:tcPr>
            <w:tcW w:w="0" w:type="auto"/>
            <w:vAlign w:val="center"/>
            <w:hideMark/>
          </w:tcPr>
          <w:p w:rsidR="00E95ADD" w:rsidRPr="00E95ADD" w:rsidRDefault="00E95ADD" w:rsidP="00E95ADD">
            <w:pPr>
              <w:suppressAutoHyphens w:val="0"/>
              <w:overflowPunct/>
              <w:autoSpaceDE/>
              <w:autoSpaceDN/>
              <w:textAlignment w:val="auto"/>
              <w:rPr>
                <w:rFonts w:ascii="Arial" w:eastAsia="Arial" w:hAnsi="Arial" w:cs="Arial"/>
                <w:color w:val="000000"/>
                <w:sz w:val="22"/>
                <w:szCs w:val="22"/>
              </w:rPr>
            </w:pPr>
            <w:r w:rsidRPr="00E95ADD">
              <w:rPr>
                <w:rFonts w:ascii="Arial" w:eastAsia="Arial" w:hAnsi="Arial" w:cs="Arial"/>
                <w:color w:val="000000"/>
                <w:sz w:val="22"/>
                <w:szCs w:val="22"/>
              </w:rPr>
              <w:t>Scheme Administrator</w:t>
            </w:r>
          </w:p>
        </w:tc>
        <w:tc>
          <w:tcPr>
            <w:tcW w:w="0" w:type="auto"/>
            <w:vAlign w:val="center"/>
            <w:hideMark/>
          </w:tcPr>
          <w:p w:rsidR="00E95ADD" w:rsidRPr="00E95ADD" w:rsidRDefault="00E95ADD" w:rsidP="00E95ADD">
            <w:pPr>
              <w:suppressAutoHyphens w:val="0"/>
              <w:overflowPunct/>
              <w:autoSpaceDE/>
              <w:autoSpaceDN/>
              <w:textAlignment w:val="auto"/>
              <w:rPr>
                <w:rFonts w:ascii="Arial" w:eastAsia="Arial" w:hAnsi="Arial" w:cs="Arial"/>
                <w:color w:val="000000"/>
                <w:sz w:val="22"/>
                <w:szCs w:val="22"/>
              </w:rPr>
            </w:pPr>
          </w:p>
        </w:tc>
        <w:tc>
          <w:tcPr>
            <w:tcW w:w="0" w:type="auto"/>
            <w:vAlign w:val="center"/>
            <w:hideMark/>
          </w:tcPr>
          <w:p w:rsidR="00E95ADD" w:rsidRPr="00E95ADD" w:rsidRDefault="00E95ADD" w:rsidP="00E95ADD">
            <w:pPr>
              <w:suppressAutoHyphens w:val="0"/>
              <w:overflowPunct/>
              <w:autoSpaceDE/>
              <w:autoSpaceDN/>
              <w:textAlignment w:val="auto"/>
              <w:rPr>
                <w:rFonts w:ascii="Arial" w:eastAsia="Arial" w:hAnsi="Arial" w:cs="Arial"/>
                <w:color w:val="000000"/>
                <w:sz w:val="22"/>
                <w:szCs w:val="22"/>
              </w:rPr>
            </w:pPr>
            <w:proofErr w:type="spellStart"/>
            <w:r w:rsidRPr="00E95ADD">
              <w:rPr>
                <w:rFonts w:ascii="Arial" w:eastAsia="Arial" w:hAnsi="Arial" w:cs="Arial"/>
                <w:color w:val="000000"/>
                <w:sz w:val="22"/>
                <w:szCs w:val="22"/>
              </w:rPr>
              <w:t>BluMarble</w:t>
            </w:r>
            <w:proofErr w:type="spellEnd"/>
            <w:r w:rsidRPr="00E95ADD">
              <w:rPr>
                <w:rFonts w:ascii="Arial" w:eastAsia="Arial" w:hAnsi="Arial" w:cs="Arial"/>
                <w:color w:val="000000"/>
                <w:sz w:val="22"/>
                <w:szCs w:val="22"/>
              </w:rPr>
              <w:t xml:space="preserve"> Capital Limited</w:t>
            </w:r>
          </w:p>
        </w:tc>
      </w:tr>
    </w:tbl>
    <w:p w:rsidR="00E95ADD" w:rsidRPr="00E95ADD" w:rsidRDefault="00E95ADD" w:rsidP="00E95ADD">
      <w:pPr>
        <w:suppressAutoHyphens w:val="0"/>
        <w:overflowPunct/>
        <w:autoSpaceDE/>
        <w:autoSpaceDN/>
        <w:textAlignment w:val="auto"/>
        <w:rPr>
          <w:rFonts w:ascii="Arial" w:eastAsia="Arial" w:hAnsi="Arial" w:cs="Arial"/>
          <w:color w:val="000000"/>
          <w:sz w:val="22"/>
          <w:szCs w:val="22"/>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739"/>
        <w:gridCol w:w="199"/>
        <w:gridCol w:w="1570"/>
      </w:tblGrid>
      <w:tr w:rsidR="00E95ADD" w:rsidRPr="00E95ADD" w:rsidTr="00E95ADD">
        <w:trPr>
          <w:tblCellSpacing w:w="15" w:type="dxa"/>
        </w:trPr>
        <w:tc>
          <w:tcPr>
            <w:tcW w:w="2500" w:type="pct"/>
            <w:vAlign w:val="center"/>
            <w:hideMark/>
          </w:tcPr>
          <w:p w:rsidR="00E95ADD" w:rsidRPr="00E95ADD" w:rsidRDefault="00E95ADD" w:rsidP="00E95ADD">
            <w:pPr>
              <w:suppressAutoHyphens w:val="0"/>
              <w:overflowPunct/>
              <w:autoSpaceDE/>
              <w:autoSpaceDN/>
              <w:textAlignment w:val="auto"/>
              <w:rPr>
                <w:rFonts w:ascii="Arial" w:eastAsia="Arial" w:hAnsi="Arial" w:cs="Arial"/>
                <w:color w:val="000000"/>
                <w:sz w:val="22"/>
                <w:szCs w:val="22"/>
              </w:rPr>
            </w:pPr>
            <w:r w:rsidRPr="00E95ADD">
              <w:rPr>
                <w:rFonts w:ascii="Arial" w:eastAsia="Arial" w:hAnsi="Arial" w:cs="Arial"/>
                <w:color w:val="000000"/>
                <w:sz w:val="22"/>
                <w:szCs w:val="22"/>
              </w:rPr>
              <w:t>Amended Return</w:t>
            </w:r>
          </w:p>
        </w:tc>
        <w:tc>
          <w:tcPr>
            <w:tcW w:w="250" w:type="pct"/>
            <w:vAlign w:val="center"/>
            <w:hideMark/>
          </w:tcPr>
          <w:p w:rsidR="00E95ADD" w:rsidRPr="00E95ADD" w:rsidRDefault="00E95ADD" w:rsidP="00E95ADD">
            <w:pPr>
              <w:suppressAutoHyphens w:val="0"/>
              <w:overflowPunct/>
              <w:autoSpaceDE/>
              <w:autoSpaceDN/>
              <w:textAlignment w:val="auto"/>
              <w:rPr>
                <w:rFonts w:ascii="Arial" w:eastAsia="Arial" w:hAnsi="Arial" w:cs="Arial"/>
                <w:color w:val="000000"/>
                <w:sz w:val="22"/>
                <w:szCs w:val="22"/>
              </w:rPr>
            </w:pPr>
          </w:p>
        </w:tc>
        <w:tc>
          <w:tcPr>
            <w:tcW w:w="0" w:type="auto"/>
            <w:vAlign w:val="center"/>
            <w:hideMark/>
          </w:tcPr>
          <w:p w:rsidR="00E95ADD" w:rsidRPr="00E95ADD" w:rsidRDefault="00E95ADD" w:rsidP="00E95ADD">
            <w:pPr>
              <w:suppressAutoHyphens w:val="0"/>
              <w:overflowPunct/>
              <w:autoSpaceDE/>
              <w:autoSpaceDN/>
              <w:textAlignment w:val="auto"/>
              <w:rPr>
                <w:rFonts w:ascii="Arial" w:eastAsia="Arial" w:hAnsi="Arial" w:cs="Arial"/>
                <w:color w:val="000000"/>
                <w:sz w:val="22"/>
                <w:szCs w:val="22"/>
              </w:rPr>
            </w:pPr>
            <w:r w:rsidRPr="00E95ADD">
              <w:rPr>
                <w:rFonts w:ascii="Arial" w:eastAsia="Arial" w:hAnsi="Arial" w:cs="Arial"/>
                <w:color w:val="000000"/>
                <w:sz w:val="22"/>
                <w:szCs w:val="22"/>
              </w:rPr>
              <w:t>No</w:t>
            </w:r>
          </w:p>
        </w:tc>
      </w:tr>
    </w:tbl>
    <w:p w:rsidR="00E95ADD" w:rsidRPr="00E95ADD" w:rsidRDefault="00E95ADD" w:rsidP="00E95ADD">
      <w:pPr>
        <w:suppressAutoHyphens w:val="0"/>
        <w:overflowPunct/>
        <w:autoSpaceDE/>
        <w:autoSpaceDN/>
        <w:textAlignment w:val="auto"/>
        <w:rPr>
          <w:rFonts w:ascii="Arial" w:eastAsia="Arial" w:hAnsi="Arial" w:cs="Arial"/>
          <w:color w:val="000000"/>
          <w:sz w:val="22"/>
          <w:szCs w:val="22"/>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933"/>
        <w:gridCol w:w="319"/>
        <w:gridCol w:w="2644"/>
      </w:tblGrid>
      <w:tr w:rsidR="00E95ADD" w:rsidRPr="00E95ADD" w:rsidTr="00E95ADD">
        <w:trPr>
          <w:tblCellSpacing w:w="15" w:type="dxa"/>
        </w:trPr>
        <w:tc>
          <w:tcPr>
            <w:tcW w:w="2500" w:type="pct"/>
            <w:vAlign w:val="center"/>
            <w:hideMark/>
          </w:tcPr>
          <w:p w:rsidR="00E95ADD" w:rsidRPr="00E95ADD" w:rsidRDefault="00E95ADD" w:rsidP="00E95ADD">
            <w:pPr>
              <w:suppressAutoHyphens w:val="0"/>
              <w:overflowPunct/>
              <w:autoSpaceDE/>
              <w:autoSpaceDN/>
              <w:textAlignment w:val="auto"/>
              <w:rPr>
                <w:rFonts w:ascii="Arial" w:eastAsia="Arial" w:hAnsi="Arial" w:cs="Arial"/>
                <w:color w:val="000000"/>
                <w:sz w:val="22"/>
                <w:szCs w:val="22"/>
              </w:rPr>
            </w:pPr>
            <w:r w:rsidRPr="00E95ADD">
              <w:rPr>
                <w:rFonts w:ascii="Arial" w:eastAsia="Arial" w:hAnsi="Arial" w:cs="Arial"/>
                <w:color w:val="000000"/>
                <w:sz w:val="22"/>
                <w:szCs w:val="22"/>
              </w:rPr>
              <w:t>Accounting Period</w:t>
            </w:r>
          </w:p>
        </w:tc>
        <w:tc>
          <w:tcPr>
            <w:tcW w:w="250" w:type="pct"/>
            <w:vAlign w:val="center"/>
            <w:hideMark/>
          </w:tcPr>
          <w:p w:rsidR="00E95ADD" w:rsidRPr="00E95ADD" w:rsidRDefault="00E95ADD" w:rsidP="00E95ADD">
            <w:pPr>
              <w:suppressAutoHyphens w:val="0"/>
              <w:overflowPunct/>
              <w:autoSpaceDE/>
              <w:autoSpaceDN/>
              <w:textAlignment w:val="auto"/>
              <w:rPr>
                <w:rFonts w:ascii="Arial" w:eastAsia="Arial" w:hAnsi="Arial" w:cs="Arial"/>
                <w:color w:val="000000"/>
                <w:sz w:val="22"/>
                <w:szCs w:val="22"/>
              </w:rPr>
            </w:pPr>
          </w:p>
        </w:tc>
        <w:tc>
          <w:tcPr>
            <w:tcW w:w="0" w:type="auto"/>
            <w:vAlign w:val="center"/>
            <w:hideMark/>
          </w:tcPr>
          <w:p w:rsidR="00E95ADD" w:rsidRPr="00E95ADD" w:rsidRDefault="00E95ADD" w:rsidP="00E95ADD">
            <w:pPr>
              <w:suppressAutoHyphens w:val="0"/>
              <w:overflowPunct/>
              <w:autoSpaceDE/>
              <w:autoSpaceDN/>
              <w:textAlignment w:val="auto"/>
              <w:rPr>
                <w:rFonts w:ascii="Arial" w:eastAsia="Arial" w:hAnsi="Arial" w:cs="Arial"/>
                <w:color w:val="000000"/>
                <w:sz w:val="22"/>
                <w:szCs w:val="22"/>
              </w:rPr>
            </w:pPr>
            <w:r w:rsidRPr="00E95ADD">
              <w:rPr>
                <w:rFonts w:ascii="Arial" w:eastAsia="Arial" w:hAnsi="Arial" w:cs="Arial"/>
                <w:color w:val="000000"/>
                <w:sz w:val="22"/>
                <w:szCs w:val="22"/>
              </w:rPr>
              <w:t>06 Apr 2014 - 05 Apr 2015</w:t>
            </w:r>
          </w:p>
        </w:tc>
      </w:tr>
    </w:tbl>
    <w:p w:rsidR="00E95ADD" w:rsidRPr="00E95ADD" w:rsidRDefault="00E95ADD" w:rsidP="00E95ADD">
      <w:pPr>
        <w:suppressAutoHyphens w:val="0"/>
        <w:overflowPunct/>
        <w:autoSpaceDE/>
        <w:autoSpaceDN/>
        <w:textAlignment w:val="auto"/>
        <w:rPr>
          <w:rFonts w:ascii="Arial" w:eastAsia="Arial" w:hAnsi="Arial" w:cs="Arial"/>
          <w:color w:val="000000"/>
          <w:sz w:val="22"/>
          <w:szCs w:val="22"/>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547"/>
        <w:gridCol w:w="480"/>
        <w:gridCol w:w="4097"/>
      </w:tblGrid>
      <w:tr w:rsidR="00E95ADD" w:rsidRPr="00E95ADD" w:rsidTr="00E95ADD">
        <w:trPr>
          <w:tblCellSpacing w:w="15" w:type="dxa"/>
        </w:trPr>
        <w:tc>
          <w:tcPr>
            <w:tcW w:w="2500" w:type="pct"/>
            <w:hideMark/>
          </w:tcPr>
          <w:p w:rsidR="00E95ADD" w:rsidRPr="00E95ADD" w:rsidRDefault="00E95ADD" w:rsidP="00E95ADD">
            <w:pPr>
              <w:suppressAutoHyphens w:val="0"/>
              <w:overflowPunct/>
              <w:autoSpaceDE/>
              <w:autoSpaceDN/>
              <w:textAlignment w:val="auto"/>
              <w:rPr>
                <w:rFonts w:ascii="Arial" w:eastAsia="Arial" w:hAnsi="Arial" w:cs="Arial"/>
                <w:color w:val="000000"/>
                <w:sz w:val="22"/>
                <w:szCs w:val="22"/>
              </w:rPr>
            </w:pPr>
            <w:r w:rsidRPr="00E95ADD">
              <w:rPr>
                <w:rFonts w:ascii="Arial" w:eastAsia="Arial" w:hAnsi="Arial" w:cs="Arial"/>
                <w:color w:val="000000"/>
                <w:sz w:val="22"/>
                <w:szCs w:val="22"/>
              </w:rPr>
              <w:t>During this period, was the aggregate of payments to and from the scheme greater than £100,000?</w:t>
            </w:r>
          </w:p>
        </w:tc>
        <w:tc>
          <w:tcPr>
            <w:tcW w:w="250" w:type="pct"/>
            <w:hideMark/>
          </w:tcPr>
          <w:p w:rsidR="00E95ADD" w:rsidRPr="00E95ADD" w:rsidRDefault="00E95ADD" w:rsidP="00E95ADD">
            <w:pPr>
              <w:suppressAutoHyphens w:val="0"/>
              <w:overflowPunct/>
              <w:autoSpaceDE/>
              <w:autoSpaceDN/>
              <w:textAlignment w:val="auto"/>
              <w:rPr>
                <w:rFonts w:ascii="Arial" w:eastAsia="Arial" w:hAnsi="Arial" w:cs="Arial"/>
                <w:color w:val="000000"/>
                <w:sz w:val="22"/>
                <w:szCs w:val="22"/>
              </w:rPr>
            </w:pPr>
          </w:p>
        </w:tc>
        <w:tc>
          <w:tcPr>
            <w:tcW w:w="0" w:type="auto"/>
            <w:hideMark/>
          </w:tcPr>
          <w:p w:rsidR="00E95ADD" w:rsidRPr="00E95ADD" w:rsidRDefault="00E95ADD" w:rsidP="00E95ADD">
            <w:pPr>
              <w:suppressAutoHyphens w:val="0"/>
              <w:overflowPunct/>
              <w:autoSpaceDE/>
              <w:autoSpaceDN/>
              <w:textAlignment w:val="auto"/>
              <w:rPr>
                <w:rFonts w:ascii="Arial" w:eastAsia="Arial" w:hAnsi="Arial" w:cs="Arial"/>
                <w:color w:val="000000"/>
                <w:sz w:val="22"/>
                <w:szCs w:val="22"/>
              </w:rPr>
            </w:pPr>
            <w:r w:rsidRPr="00E95ADD">
              <w:rPr>
                <w:rFonts w:ascii="Arial" w:eastAsia="Arial" w:hAnsi="Arial" w:cs="Arial"/>
                <w:color w:val="000000"/>
                <w:sz w:val="22"/>
                <w:szCs w:val="22"/>
              </w:rPr>
              <w:t>No</w:t>
            </w:r>
          </w:p>
        </w:tc>
      </w:tr>
      <w:tr w:rsidR="00E95ADD" w:rsidRPr="00E95ADD" w:rsidTr="00E95ADD">
        <w:trPr>
          <w:tblCellSpacing w:w="15" w:type="dxa"/>
        </w:trPr>
        <w:tc>
          <w:tcPr>
            <w:tcW w:w="2500" w:type="pct"/>
            <w:vAlign w:val="center"/>
            <w:hideMark/>
          </w:tcPr>
          <w:p w:rsidR="00E95ADD" w:rsidRPr="00E95ADD" w:rsidRDefault="00E95ADD" w:rsidP="00E95ADD">
            <w:pPr>
              <w:suppressAutoHyphens w:val="0"/>
              <w:overflowPunct/>
              <w:autoSpaceDE/>
              <w:autoSpaceDN/>
              <w:textAlignment w:val="auto"/>
              <w:rPr>
                <w:rFonts w:ascii="Arial" w:eastAsia="Arial" w:hAnsi="Arial" w:cs="Arial"/>
                <w:color w:val="000000"/>
                <w:sz w:val="22"/>
                <w:szCs w:val="22"/>
              </w:rPr>
            </w:pPr>
            <w:r w:rsidRPr="00E95ADD">
              <w:rPr>
                <w:rFonts w:ascii="Arial" w:eastAsia="Arial" w:hAnsi="Arial" w:cs="Arial"/>
                <w:color w:val="000000"/>
                <w:sz w:val="22"/>
                <w:szCs w:val="22"/>
              </w:rPr>
              <w:t>Specify the aggregate of payments to and from the scheme</w:t>
            </w:r>
          </w:p>
        </w:tc>
        <w:tc>
          <w:tcPr>
            <w:tcW w:w="0" w:type="auto"/>
            <w:vAlign w:val="center"/>
            <w:hideMark/>
          </w:tcPr>
          <w:p w:rsidR="00E95ADD" w:rsidRPr="00E95ADD" w:rsidRDefault="00E95ADD" w:rsidP="00E95ADD">
            <w:pPr>
              <w:suppressAutoHyphens w:val="0"/>
              <w:overflowPunct/>
              <w:autoSpaceDE/>
              <w:autoSpaceDN/>
              <w:textAlignment w:val="auto"/>
              <w:rPr>
                <w:rFonts w:ascii="Arial" w:eastAsia="Arial" w:hAnsi="Arial" w:cs="Arial"/>
                <w:color w:val="000000"/>
                <w:sz w:val="22"/>
                <w:szCs w:val="22"/>
              </w:rPr>
            </w:pPr>
          </w:p>
        </w:tc>
        <w:tc>
          <w:tcPr>
            <w:tcW w:w="0" w:type="auto"/>
            <w:vAlign w:val="center"/>
            <w:hideMark/>
          </w:tcPr>
          <w:p w:rsidR="00E95ADD" w:rsidRPr="00E95ADD" w:rsidRDefault="00E95ADD" w:rsidP="00E95ADD">
            <w:pPr>
              <w:suppressAutoHyphens w:val="0"/>
              <w:overflowPunct/>
              <w:autoSpaceDE/>
              <w:autoSpaceDN/>
              <w:textAlignment w:val="auto"/>
              <w:rPr>
                <w:rFonts w:ascii="Arial" w:eastAsia="Arial" w:hAnsi="Arial" w:cs="Arial"/>
                <w:color w:val="000000"/>
                <w:sz w:val="22"/>
                <w:szCs w:val="22"/>
              </w:rPr>
            </w:pPr>
            <w:r w:rsidRPr="00E95ADD">
              <w:rPr>
                <w:rFonts w:ascii="Arial" w:eastAsia="Arial" w:hAnsi="Arial" w:cs="Arial"/>
                <w:color w:val="000000"/>
                <w:sz w:val="22"/>
                <w:szCs w:val="22"/>
              </w:rPr>
              <w:t>£0</w:t>
            </w:r>
          </w:p>
        </w:tc>
      </w:tr>
    </w:tbl>
    <w:p w:rsidR="00E95ADD" w:rsidRPr="00E95ADD" w:rsidRDefault="00E95ADD" w:rsidP="00E95ADD">
      <w:pPr>
        <w:suppressAutoHyphens w:val="0"/>
        <w:overflowPunct/>
        <w:autoSpaceDE/>
        <w:autoSpaceDN/>
        <w:textAlignment w:val="auto"/>
        <w:rPr>
          <w:rFonts w:ascii="Arial" w:eastAsia="Arial" w:hAnsi="Arial" w:cs="Arial"/>
          <w:color w:val="000000"/>
          <w:sz w:val="22"/>
          <w:szCs w:val="22"/>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547"/>
        <w:gridCol w:w="480"/>
        <w:gridCol w:w="4097"/>
      </w:tblGrid>
      <w:tr w:rsidR="00E95ADD" w:rsidRPr="00E95ADD" w:rsidTr="00E95ADD">
        <w:trPr>
          <w:tblCellSpacing w:w="15" w:type="dxa"/>
        </w:trPr>
        <w:tc>
          <w:tcPr>
            <w:tcW w:w="2500" w:type="pct"/>
            <w:hideMark/>
          </w:tcPr>
          <w:p w:rsidR="00E95ADD" w:rsidRPr="00E95ADD" w:rsidRDefault="00E95ADD" w:rsidP="00E95ADD">
            <w:pPr>
              <w:suppressAutoHyphens w:val="0"/>
              <w:overflowPunct/>
              <w:autoSpaceDE/>
              <w:autoSpaceDN/>
              <w:textAlignment w:val="auto"/>
              <w:rPr>
                <w:rFonts w:ascii="Arial" w:eastAsia="Arial" w:hAnsi="Arial" w:cs="Arial"/>
                <w:color w:val="000000"/>
                <w:sz w:val="22"/>
                <w:szCs w:val="22"/>
              </w:rPr>
            </w:pPr>
            <w:r w:rsidRPr="00E95ADD">
              <w:rPr>
                <w:rFonts w:ascii="Arial" w:eastAsia="Arial" w:hAnsi="Arial" w:cs="Arial"/>
                <w:color w:val="000000"/>
                <w:sz w:val="22"/>
                <w:szCs w:val="22"/>
              </w:rPr>
              <w:t>At the end of this period, did the scheme have assets with a total value before pension liabilities greater than £400,000?</w:t>
            </w:r>
          </w:p>
        </w:tc>
        <w:tc>
          <w:tcPr>
            <w:tcW w:w="250" w:type="pct"/>
            <w:hideMark/>
          </w:tcPr>
          <w:p w:rsidR="00E95ADD" w:rsidRPr="00E95ADD" w:rsidRDefault="00E95ADD" w:rsidP="00E95ADD">
            <w:pPr>
              <w:suppressAutoHyphens w:val="0"/>
              <w:overflowPunct/>
              <w:autoSpaceDE/>
              <w:autoSpaceDN/>
              <w:textAlignment w:val="auto"/>
              <w:rPr>
                <w:rFonts w:ascii="Arial" w:eastAsia="Arial" w:hAnsi="Arial" w:cs="Arial"/>
                <w:color w:val="000000"/>
                <w:sz w:val="22"/>
                <w:szCs w:val="22"/>
              </w:rPr>
            </w:pPr>
          </w:p>
        </w:tc>
        <w:tc>
          <w:tcPr>
            <w:tcW w:w="0" w:type="auto"/>
            <w:hideMark/>
          </w:tcPr>
          <w:p w:rsidR="00E95ADD" w:rsidRPr="00E95ADD" w:rsidRDefault="00E95ADD" w:rsidP="00E95ADD">
            <w:pPr>
              <w:suppressAutoHyphens w:val="0"/>
              <w:overflowPunct/>
              <w:autoSpaceDE/>
              <w:autoSpaceDN/>
              <w:textAlignment w:val="auto"/>
              <w:rPr>
                <w:rFonts w:ascii="Arial" w:eastAsia="Arial" w:hAnsi="Arial" w:cs="Arial"/>
                <w:color w:val="000000"/>
                <w:sz w:val="22"/>
                <w:szCs w:val="22"/>
              </w:rPr>
            </w:pPr>
            <w:r w:rsidRPr="00E95ADD">
              <w:rPr>
                <w:rFonts w:ascii="Arial" w:eastAsia="Arial" w:hAnsi="Arial" w:cs="Arial"/>
                <w:color w:val="000000"/>
                <w:sz w:val="22"/>
                <w:szCs w:val="22"/>
              </w:rPr>
              <w:t>No</w:t>
            </w:r>
          </w:p>
        </w:tc>
      </w:tr>
      <w:tr w:rsidR="00E95ADD" w:rsidRPr="00E95ADD" w:rsidTr="00E95ADD">
        <w:trPr>
          <w:tblCellSpacing w:w="15" w:type="dxa"/>
        </w:trPr>
        <w:tc>
          <w:tcPr>
            <w:tcW w:w="2500" w:type="pct"/>
            <w:vAlign w:val="center"/>
            <w:hideMark/>
          </w:tcPr>
          <w:p w:rsidR="00E95ADD" w:rsidRPr="00E95ADD" w:rsidRDefault="00E95ADD" w:rsidP="00E95ADD">
            <w:pPr>
              <w:suppressAutoHyphens w:val="0"/>
              <w:overflowPunct/>
              <w:autoSpaceDE/>
              <w:autoSpaceDN/>
              <w:textAlignment w:val="auto"/>
              <w:rPr>
                <w:rFonts w:ascii="Arial" w:eastAsia="Arial" w:hAnsi="Arial" w:cs="Arial"/>
                <w:color w:val="000000"/>
                <w:sz w:val="22"/>
                <w:szCs w:val="22"/>
              </w:rPr>
            </w:pPr>
            <w:r w:rsidRPr="00E95ADD">
              <w:rPr>
                <w:rFonts w:ascii="Arial" w:eastAsia="Arial" w:hAnsi="Arial" w:cs="Arial"/>
                <w:color w:val="000000"/>
                <w:sz w:val="22"/>
                <w:szCs w:val="22"/>
              </w:rPr>
              <w:t>Total value of assets before pension liabilities at the end of the period</w:t>
            </w:r>
          </w:p>
        </w:tc>
        <w:tc>
          <w:tcPr>
            <w:tcW w:w="0" w:type="auto"/>
            <w:vAlign w:val="center"/>
            <w:hideMark/>
          </w:tcPr>
          <w:p w:rsidR="00E95ADD" w:rsidRPr="00E95ADD" w:rsidRDefault="00E95ADD" w:rsidP="00E95ADD">
            <w:pPr>
              <w:suppressAutoHyphens w:val="0"/>
              <w:overflowPunct/>
              <w:autoSpaceDE/>
              <w:autoSpaceDN/>
              <w:textAlignment w:val="auto"/>
              <w:rPr>
                <w:rFonts w:ascii="Arial" w:eastAsia="Arial" w:hAnsi="Arial" w:cs="Arial"/>
                <w:color w:val="000000"/>
                <w:sz w:val="22"/>
                <w:szCs w:val="22"/>
              </w:rPr>
            </w:pPr>
          </w:p>
        </w:tc>
        <w:tc>
          <w:tcPr>
            <w:tcW w:w="0" w:type="auto"/>
            <w:vAlign w:val="center"/>
            <w:hideMark/>
          </w:tcPr>
          <w:p w:rsidR="00E95ADD" w:rsidRPr="00E95ADD" w:rsidRDefault="00E95ADD" w:rsidP="00E95ADD">
            <w:pPr>
              <w:suppressAutoHyphens w:val="0"/>
              <w:overflowPunct/>
              <w:autoSpaceDE/>
              <w:autoSpaceDN/>
              <w:textAlignment w:val="auto"/>
              <w:rPr>
                <w:rFonts w:ascii="Arial" w:eastAsia="Arial" w:hAnsi="Arial" w:cs="Arial"/>
                <w:color w:val="000000"/>
                <w:sz w:val="22"/>
                <w:szCs w:val="22"/>
              </w:rPr>
            </w:pPr>
            <w:r w:rsidRPr="00E95ADD">
              <w:rPr>
                <w:rFonts w:ascii="Arial" w:eastAsia="Arial" w:hAnsi="Arial" w:cs="Arial"/>
                <w:color w:val="000000"/>
                <w:sz w:val="22"/>
                <w:szCs w:val="22"/>
              </w:rPr>
              <w:t>£80031</w:t>
            </w:r>
          </w:p>
        </w:tc>
      </w:tr>
    </w:tbl>
    <w:p w:rsidR="00E95ADD" w:rsidRPr="00E95ADD" w:rsidRDefault="00E95ADD" w:rsidP="00E95ADD">
      <w:pPr>
        <w:suppressAutoHyphens w:val="0"/>
        <w:overflowPunct/>
        <w:autoSpaceDE/>
        <w:autoSpaceDN/>
        <w:textAlignment w:val="auto"/>
        <w:rPr>
          <w:rFonts w:ascii="Arial" w:eastAsia="Arial" w:hAnsi="Arial" w:cs="Arial"/>
          <w:color w:val="000000"/>
          <w:sz w:val="22"/>
          <w:szCs w:val="22"/>
        </w:rPr>
      </w:pPr>
    </w:p>
    <w:p w:rsidR="00E95ADD" w:rsidRDefault="00E95ADD" w:rsidP="00E95ADD">
      <w:pPr>
        <w:suppressAutoHyphens w:val="0"/>
        <w:overflowPunct/>
        <w:autoSpaceDE/>
        <w:autoSpaceDN/>
        <w:textAlignment w:val="auto"/>
        <w:rPr>
          <w:rFonts w:ascii="Arial" w:eastAsia="Arial" w:hAnsi="Arial" w:cs="Arial"/>
          <w:b/>
          <w:color w:val="000000"/>
          <w:sz w:val="22"/>
          <w:szCs w:val="22"/>
        </w:rPr>
      </w:pPr>
      <w:r w:rsidRPr="00E95ADD">
        <w:rPr>
          <w:rFonts w:ascii="Arial" w:eastAsia="Arial" w:hAnsi="Arial" w:cs="Arial"/>
          <w:b/>
          <w:color w:val="000000"/>
          <w:sz w:val="22"/>
          <w:szCs w:val="22"/>
        </w:rPr>
        <w:t>Connected Parties</w:t>
      </w:r>
    </w:p>
    <w:p w:rsidR="00E95ADD" w:rsidRPr="00E95ADD" w:rsidRDefault="00E95ADD" w:rsidP="00E95ADD">
      <w:pPr>
        <w:suppressAutoHyphens w:val="0"/>
        <w:overflowPunct/>
        <w:autoSpaceDE/>
        <w:autoSpaceDN/>
        <w:textAlignment w:val="auto"/>
        <w:rPr>
          <w:rFonts w:ascii="Arial" w:eastAsia="Arial" w:hAnsi="Arial" w:cs="Arial"/>
          <w:b/>
          <w:color w:val="000000"/>
          <w:sz w:val="22"/>
          <w:szCs w:val="22"/>
        </w:rPr>
      </w:pPr>
      <w:bookmarkStart w:id="1" w:name="_GoBack"/>
      <w:bookmarkEnd w:id="1"/>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124"/>
      </w:tblGrid>
      <w:tr w:rsidR="00E95ADD" w:rsidRPr="00E95ADD" w:rsidTr="00E95ADD">
        <w:trPr>
          <w:tblCellSpacing w:w="15" w:type="dxa"/>
        </w:trPr>
        <w:tc>
          <w:tcPr>
            <w:tcW w:w="2500" w:type="pct"/>
            <w:vAlign w:val="center"/>
            <w:hideMark/>
          </w:tcPr>
          <w:p w:rsidR="00E95ADD" w:rsidRPr="00E95ADD" w:rsidRDefault="00E95ADD" w:rsidP="00E95ADD">
            <w:pPr>
              <w:suppressAutoHyphens w:val="0"/>
              <w:overflowPunct/>
              <w:autoSpaceDE/>
              <w:autoSpaceDN/>
              <w:textAlignment w:val="auto"/>
              <w:rPr>
                <w:rFonts w:ascii="Arial" w:eastAsia="Arial" w:hAnsi="Arial" w:cs="Arial"/>
                <w:color w:val="000000"/>
                <w:sz w:val="22"/>
                <w:szCs w:val="22"/>
              </w:rPr>
            </w:pPr>
            <w:r w:rsidRPr="00E95ADD">
              <w:rPr>
                <w:rFonts w:ascii="Arial" w:eastAsia="Arial" w:hAnsi="Arial" w:cs="Arial"/>
                <w:color w:val="000000"/>
                <w:sz w:val="22"/>
                <w:szCs w:val="22"/>
              </w:rPr>
              <w:t>At any time during the period from 06/04/2014 to 05/04/2015 did the scheme either directly or indirectly own assets that it had acquired from either:</w:t>
            </w:r>
            <w:r w:rsidRPr="00E95ADD">
              <w:rPr>
                <w:rFonts w:ascii="Arial" w:eastAsia="Arial" w:hAnsi="Arial" w:cs="Arial"/>
                <w:color w:val="000000"/>
                <w:sz w:val="22"/>
                <w:szCs w:val="22"/>
              </w:rPr>
              <w:br/>
              <w:t>a. a sponsoring employer or any person connected with that employer?</w:t>
            </w:r>
            <w:r w:rsidRPr="00E95ADD">
              <w:rPr>
                <w:rFonts w:ascii="Arial" w:eastAsia="Arial" w:hAnsi="Arial" w:cs="Arial"/>
                <w:color w:val="000000"/>
                <w:sz w:val="22"/>
                <w:szCs w:val="22"/>
              </w:rPr>
              <w:br/>
            </w:r>
            <w:proofErr w:type="gramStart"/>
            <w:r w:rsidRPr="00E95ADD">
              <w:rPr>
                <w:rFonts w:ascii="Arial" w:eastAsia="Arial" w:hAnsi="Arial" w:cs="Arial"/>
                <w:color w:val="000000"/>
                <w:sz w:val="22"/>
                <w:szCs w:val="22"/>
              </w:rPr>
              <w:t>or</w:t>
            </w:r>
            <w:proofErr w:type="gramEnd"/>
            <w:r w:rsidRPr="00E95ADD">
              <w:rPr>
                <w:rFonts w:ascii="Arial" w:eastAsia="Arial" w:hAnsi="Arial" w:cs="Arial"/>
                <w:color w:val="000000"/>
                <w:sz w:val="22"/>
                <w:szCs w:val="22"/>
              </w:rPr>
              <w:br/>
              <w:t>b. a person who was a director of or a person connected to a director of a close company that was also a sponsoring employer?</w:t>
            </w:r>
            <w:r w:rsidRPr="00E95ADD">
              <w:rPr>
                <w:rFonts w:ascii="Arial" w:eastAsia="Arial" w:hAnsi="Arial" w:cs="Arial"/>
                <w:color w:val="000000"/>
                <w:sz w:val="22"/>
                <w:szCs w:val="22"/>
              </w:rPr>
              <w:br/>
            </w:r>
            <w:proofErr w:type="gramStart"/>
            <w:r w:rsidRPr="00E95ADD">
              <w:rPr>
                <w:rFonts w:ascii="Arial" w:eastAsia="Arial" w:hAnsi="Arial" w:cs="Arial"/>
                <w:color w:val="000000"/>
                <w:sz w:val="22"/>
                <w:szCs w:val="22"/>
              </w:rPr>
              <w:t>or</w:t>
            </w:r>
            <w:proofErr w:type="gramEnd"/>
            <w:r w:rsidRPr="00E95ADD">
              <w:rPr>
                <w:rFonts w:ascii="Arial" w:eastAsia="Arial" w:hAnsi="Arial" w:cs="Arial"/>
                <w:color w:val="000000"/>
                <w:sz w:val="22"/>
                <w:szCs w:val="22"/>
              </w:rPr>
              <w:br/>
              <w:t>c. a person who was either a sole owner or partner or a person connected with the sole owner or partner of a business which was a sponsoring employer?</w:t>
            </w:r>
            <w:r w:rsidRPr="00E95ADD">
              <w:rPr>
                <w:rFonts w:ascii="Arial" w:eastAsia="Arial" w:hAnsi="Arial" w:cs="Arial"/>
                <w:color w:val="000000"/>
                <w:sz w:val="22"/>
                <w:szCs w:val="22"/>
              </w:rPr>
              <w:br/>
            </w:r>
            <w:proofErr w:type="gramStart"/>
            <w:r w:rsidRPr="00E95ADD">
              <w:rPr>
                <w:rFonts w:ascii="Arial" w:eastAsia="Arial" w:hAnsi="Arial" w:cs="Arial"/>
                <w:color w:val="000000"/>
                <w:sz w:val="22"/>
                <w:szCs w:val="22"/>
              </w:rPr>
              <w:t>or</w:t>
            </w:r>
            <w:proofErr w:type="gramEnd"/>
            <w:r w:rsidRPr="00E95ADD">
              <w:rPr>
                <w:rFonts w:ascii="Arial" w:eastAsia="Arial" w:hAnsi="Arial" w:cs="Arial"/>
                <w:color w:val="000000"/>
                <w:sz w:val="22"/>
                <w:szCs w:val="22"/>
              </w:rPr>
              <w:br/>
              <w:t>d. a member or person connected with a member?</w:t>
            </w:r>
          </w:p>
        </w:tc>
      </w:tr>
    </w:tbl>
    <w:p w:rsidR="00B60B52" w:rsidRDefault="00B60B52">
      <w:pPr>
        <w:pStyle w:val="Standard"/>
        <w:pageBreakBefore/>
        <w:spacing w:before="7"/>
      </w:pPr>
    </w:p>
    <w:p w:rsidR="003258FA" w:rsidRPr="00B84DDD" w:rsidRDefault="003258FA" w:rsidP="003258FA">
      <w:pPr>
        <w:pStyle w:val="Standard"/>
        <w:numPr>
          <w:ilvl w:val="0"/>
          <w:numId w:val="13"/>
        </w:numPr>
        <w:ind w:right="1469"/>
        <w:jc w:val="both"/>
      </w:pPr>
      <w:r>
        <w:rPr>
          <w:rFonts w:ascii="Arial" w:eastAsia="Arial" w:hAnsi="Arial" w:cs="Arial"/>
          <w:b/>
          <w:bCs/>
          <w:color w:val="1FAFD6"/>
          <w:sz w:val="48"/>
          <w:szCs w:val="48"/>
        </w:rPr>
        <w:t>Inflation Report</w:t>
      </w:r>
    </w:p>
    <w:p w:rsidR="00B84DDD" w:rsidRDefault="00B84DDD" w:rsidP="00B84DDD">
      <w:pPr>
        <w:pStyle w:val="Standard"/>
        <w:ind w:left="567" w:right="1469"/>
        <w:jc w:val="both"/>
      </w:pPr>
    </w:p>
    <w:p w:rsidR="00B60B52" w:rsidRDefault="00B60B52">
      <w:pPr>
        <w:pStyle w:val="Standard"/>
        <w:rPr>
          <w:sz w:val="20"/>
          <w:szCs w:val="20"/>
        </w:rPr>
      </w:pPr>
    </w:p>
    <w:p w:rsidR="00B84DDD" w:rsidRDefault="00B84DDD" w:rsidP="005C38DE">
      <w:pPr>
        <w:pStyle w:val="Standard"/>
        <w:spacing w:line="276" w:lineRule="auto"/>
        <w:ind w:left="1382" w:right="193"/>
        <w:jc w:val="both"/>
        <w:rPr>
          <w:rFonts w:ascii="Arial" w:eastAsia="Arial" w:hAnsi="Arial" w:cs="Arial"/>
        </w:rPr>
      </w:pPr>
    </w:p>
    <w:p w:rsidR="00B60B52" w:rsidRPr="00F3553D" w:rsidRDefault="004271FF" w:rsidP="005C38DE">
      <w:pPr>
        <w:pStyle w:val="Standard"/>
        <w:spacing w:line="276" w:lineRule="auto"/>
        <w:ind w:left="1382" w:right="193"/>
        <w:jc w:val="both"/>
        <w:rPr>
          <w:rFonts w:ascii="Arial" w:eastAsia="Arial" w:hAnsi="Arial" w:cs="Arial"/>
        </w:rPr>
      </w:pPr>
      <w:r w:rsidRPr="00F3553D">
        <w:rPr>
          <w:rFonts w:ascii="Arial" w:eastAsia="Arial" w:hAnsi="Arial" w:cs="Arial"/>
        </w:rPr>
        <w:t>It is important to consider the effects of inflation on pension funds to ascertain any real growth in a pension scheme. Simply put, if your pension fund return over the tax year exceeds that of inflation your fund has grown in real terms and has maintained purchasing power.</w:t>
      </w:r>
    </w:p>
    <w:p w:rsidR="00B60B52" w:rsidRDefault="00B60B52" w:rsidP="005C38DE">
      <w:pPr>
        <w:pStyle w:val="Heading2"/>
        <w:ind w:right="193"/>
        <w:jc w:val="both"/>
      </w:pPr>
    </w:p>
    <w:p w:rsidR="00B60B52" w:rsidRPr="00F3553D" w:rsidRDefault="004271FF" w:rsidP="005C38DE">
      <w:pPr>
        <w:pStyle w:val="Standard"/>
        <w:spacing w:line="276" w:lineRule="auto"/>
        <w:ind w:left="1382" w:right="193"/>
        <w:jc w:val="both"/>
        <w:rPr>
          <w:rFonts w:ascii="Arial" w:eastAsia="Arial" w:hAnsi="Arial" w:cs="Arial"/>
        </w:rPr>
      </w:pPr>
      <w:r w:rsidRPr="00F3553D">
        <w:rPr>
          <w:rFonts w:ascii="Arial" w:eastAsia="Arial" w:hAnsi="Arial" w:cs="Arial"/>
        </w:rPr>
        <w:t>CPI and RPI measure change in the prices charged for goods and services bought for consumption in the UK. Prices are recorded monthly for a typical selection of products (referred to as the ‘basket of goods’), using a large sample of shops and other outlets. The CPI target for by the Bank of England’s Monetary Policy Committee (MPC) CPI inflation is 2%.</w:t>
      </w:r>
    </w:p>
    <w:p w:rsidR="00B60B52" w:rsidRDefault="00B60B52" w:rsidP="005C38DE">
      <w:pPr>
        <w:pStyle w:val="Standard"/>
        <w:spacing w:before="16"/>
        <w:ind w:right="193"/>
        <w:jc w:val="both"/>
        <w:rPr>
          <w:sz w:val="24"/>
          <w:szCs w:val="24"/>
        </w:rPr>
      </w:pPr>
    </w:p>
    <w:p w:rsidR="00B60B52" w:rsidRPr="00F3553D" w:rsidRDefault="004271FF" w:rsidP="005C38DE">
      <w:pPr>
        <w:pStyle w:val="Standard"/>
        <w:spacing w:line="276" w:lineRule="auto"/>
        <w:ind w:left="1382" w:right="193"/>
        <w:jc w:val="both"/>
        <w:rPr>
          <w:rFonts w:ascii="Arial" w:eastAsia="Arial" w:hAnsi="Arial" w:cs="Arial"/>
        </w:rPr>
      </w:pPr>
      <w:r>
        <w:rPr>
          <w:rFonts w:ascii="Arial" w:eastAsia="Arial" w:hAnsi="Arial" w:cs="Arial"/>
        </w:rPr>
        <w:t>2014 built on the recovery signs is forecasted to grow above 2.5% annually through to 2017. Growth may still be hampered in the short term due to ongoing Eurozone and international uncertainties, reflected by the slowdown in growth in the fourth quarter of 2014.</w:t>
      </w:r>
    </w:p>
    <w:p w:rsidR="00B60B52" w:rsidRPr="00F3553D" w:rsidRDefault="00B60B52" w:rsidP="005C38DE">
      <w:pPr>
        <w:pStyle w:val="Standard"/>
        <w:spacing w:line="276" w:lineRule="auto"/>
        <w:ind w:left="1382" w:right="193"/>
        <w:jc w:val="both"/>
        <w:rPr>
          <w:rFonts w:ascii="Arial" w:eastAsia="Arial" w:hAnsi="Arial" w:cs="Arial"/>
        </w:rPr>
      </w:pPr>
    </w:p>
    <w:p w:rsidR="00B60B52" w:rsidRPr="00F3553D" w:rsidRDefault="004271FF" w:rsidP="005C38DE">
      <w:pPr>
        <w:pStyle w:val="Standard"/>
        <w:spacing w:line="276" w:lineRule="auto"/>
        <w:ind w:left="1382" w:right="193"/>
        <w:jc w:val="both"/>
        <w:rPr>
          <w:rFonts w:ascii="Arial" w:eastAsia="Arial" w:hAnsi="Arial" w:cs="Arial"/>
        </w:rPr>
      </w:pPr>
      <w:r>
        <w:rPr>
          <w:rFonts w:ascii="Arial" w:eastAsia="Arial" w:hAnsi="Arial" w:cs="Arial"/>
        </w:rPr>
        <w:t>The services sector is expected to continue to be the main driver of UK growth for both output and employment, with manufacturing and construction contributing positively to growth into 2015, despite a slowdown towards at the end of last year.</w:t>
      </w:r>
    </w:p>
    <w:p w:rsidR="00B60B52" w:rsidRPr="00F3553D" w:rsidRDefault="00B60B52" w:rsidP="005C38DE">
      <w:pPr>
        <w:pStyle w:val="Standard"/>
        <w:spacing w:line="276" w:lineRule="auto"/>
        <w:ind w:left="1382" w:right="193"/>
        <w:jc w:val="both"/>
        <w:rPr>
          <w:rFonts w:ascii="Arial" w:eastAsia="Arial" w:hAnsi="Arial" w:cs="Arial"/>
        </w:rPr>
      </w:pPr>
    </w:p>
    <w:p w:rsidR="00B60B52" w:rsidRPr="00F3553D" w:rsidRDefault="004271FF" w:rsidP="005C38DE">
      <w:pPr>
        <w:pStyle w:val="Standard"/>
        <w:spacing w:line="276" w:lineRule="auto"/>
        <w:ind w:left="1382" w:right="193"/>
        <w:jc w:val="both"/>
        <w:rPr>
          <w:rFonts w:ascii="Arial" w:eastAsia="Arial" w:hAnsi="Arial" w:cs="Arial"/>
        </w:rPr>
      </w:pPr>
      <w:r>
        <w:rPr>
          <w:rFonts w:ascii="Arial" w:eastAsia="Arial" w:hAnsi="Arial" w:cs="Arial"/>
        </w:rPr>
        <w:t xml:space="preserve">Cheaper fuel, lower energy prices and the ongoing supermarket price ‘war’ all contributed to a sharp decrease in the Consumer Price Inflation indicator which has remained hovering around zero to 1% throughout most of 2015; </w:t>
      </w:r>
    </w:p>
    <w:p w:rsidR="00B60B52" w:rsidRDefault="00B60B52" w:rsidP="005C38DE">
      <w:pPr>
        <w:pStyle w:val="Standard"/>
        <w:spacing w:line="276" w:lineRule="auto"/>
        <w:ind w:left="1382" w:right="193"/>
        <w:jc w:val="both"/>
        <w:rPr>
          <w:rFonts w:ascii="Arial" w:eastAsia="Arial" w:hAnsi="Arial" w:cs="Arial"/>
        </w:rPr>
      </w:pPr>
    </w:p>
    <w:p w:rsidR="00B60B52" w:rsidRPr="00F3553D" w:rsidRDefault="004271FF" w:rsidP="005C38DE">
      <w:pPr>
        <w:pStyle w:val="Standard"/>
        <w:spacing w:line="276" w:lineRule="auto"/>
        <w:ind w:left="1382" w:right="193"/>
        <w:jc w:val="both"/>
        <w:rPr>
          <w:rFonts w:ascii="Arial" w:eastAsia="Arial" w:hAnsi="Arial" w:cs="Arial"/>
        </w:rPr>
      </w:pPr>
      <w:r>
        <w:rPr>
          <w:rFonts w:ascii="Arial" w:eastAsia="Arial" w:hAnsi="Arial" w:cs="Arial"/>
        </w:rPr>
        <w:t>This decrease in inflation, combined with a larger than expected increase in wages has meant that there was a positive growth in real earnings, bringing an end to six years of negative real earnings growth. Unemployment levels continued to drop, and have reached their lowest levels since 2008.</w:t>
      </w:r>
    </w:p>
    <w:p w:rsidR="00B60B52" w:rsidRPr="00F3553D" w:rsidRDefault="00B60B52" w:rsidP="005C38DE">
      <w:pPr>
        <w:pStyle w:val="Standard"/>
        <w:spacing w:line="276" w:lineRule="auto"/>
        <w:ind w:left="1382" w:right="193"/>
        <w:jc w:val="both"/>
        <w:rPr>
          <w:rFonts w:ascii="Arial" w:eastAsia="Arial" w:hAnsi="Arial" w:cs="Arial"/>
        </w:rPr>
      </w:pPr>
    </w:p>
    <w:p w:rsidR="00B60B52" w:rsidRPr="00F3553D" w:rsidRDefault="004271FF" w:rsidP="005C38DE">
      <w:pPr>
        <w:pStyle w:val="Standard"/>
        <w:spacing w:line="276" w:lineRule="auto"/>
        <w:ind w:left="1382" w:right="193"/>
        <w:jc w:val="both"/>
        <w:rPr>
          <w:rFonts w:ascii="Arial" w:eastAsia="Arial" w:hAnsi="Arial" w:cs="Arial"/>
        </w:rPr>
      </w:pPr>
      <w:r>
        <w:rPr>
          <w:rFonts w:ascii="Arial" w:eastAsia="Arial" w:hAnsi="Arial" w:cs="Arial"/>
        </w:rPr>
        <w:t>It is expected that interest rates will remain at their present low level until 2016, after which they will gradually increase.</w:t>
      </w:r>
    </w:p>
    <w:p w:rsidR="00B60B52" w:rsidRDefault="00B60B52">
      <w:pPr>
        <w:pStyle w:val="Standard"/>
        <w:spacing w:before="3"/>
        <w:rPr>
          <w:sz w:val="20"/>
          <w:szCs w:val="20"/>
          <w:shd w:val="clear" w:color="auto" w:fill="FFFF00"/>
        </w:rPr>
      </w:pPr>
    </w:p>
    <w:p w:rsidR="00B60B52" w:rsidRDefault="00B60B52">
      <w:pPr>
        <w:pStyle w:val="Standard"/>
        <w:pageBreakBefore/>
        <w:rPr>
          <w:sz w:val="20"/>
          <w:szCs w:val="20"/>
          <w:shd w:val="clear" w:color="auto" w:fill="FFFF00"/>
        </w:rPr>
      </w:pPr>
    </w:p>
    <w:p w:rsidR="00B60B52" w:rsidRPr="00F3553D" w:rsidRDefault="00B60B52">
      <w:pPr>
        <w:pStyle w:val="Standard"/>
        <w:rPr>
          <w:rFonts w:ascii="Arial" w:eastAsia="Arial" w:hAnsi="Arial" w:cs="Arial"/>
          <w:b/>
        </w:rPr>
      </w:pPr>
    </w:p>
    <w:p w:rsidR="00B60B52" w:rsidRPr="00F3553D" w:rsidRDefault="004271FF" w:rsidP="00F3553D">
      <w:pPr>
        <w:pStyle w:val="Heading2"/>
        <w:ind w:right="4021"/>
        <w:jc w:val="both"/>
        <w:rPr>
          <w:bCs w:val="0"/>
        </w:rPr>
      </w:pPr>
      <w:r w:rsidRPr="00F3553D">
        <w:rPr>
          <w:bCs w:val="0"/>
        </w:rPr>
        <w:t>Short and long term forecast</w:t>
      </w:r>
    </w:p>
    <w:p w:rsidR="00B60B52" w:rsidRDefault="00B60B52">
      <w:pPr>
        <w:pStyle w:val="Standard"/>
        <w:spacing w:before="17"/>
        <w:rPr>
          <w:sz w:val="24"/>
          <w:szCs w:val="24"/>
        </w:rPr>
      </w:pPr>
    </w:p>
    <w:p w:rsidR="00B60B52" w:rsidRDefault="004271FF">
      <w:pPr>
        <w:pStyle w:val="Standard"/>
        <w:ind w:left="1382" w:right="10204"/>
      </w:pPr>
      <w:r>
        <w:rPr>
          <w:noProof/>
        </w:rPr>
        <w:drawing>
          <wp:inline distT="0" distB="0" distL="0" distR="0">
            <wp:extent cx="4839840" cy="2505600"/>
            <wp:effectExtent l="0" t="0" r="0" b="0"/>
            <wp:docPr id="2" name="Picture 2" descr="United Kingdom Inflation Rate"/>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stretch>
                      <a:fillRect/>
                    </a:stretch>
                  </pic:blipFill>
                  <pic:spPr>
                    <a:xfrm>
                      <a:off x="0" y="0"/>
                      <a:ext cx="4839840" cy="2505600"/>
                    </a:xfrm>
                    <a:prstGeom prst="rect">
                      <a:avLst/>
                    </a:prstGeom>
                    <a:solidFill>
                      <a:srgbClr val="FFFFFF"/>
                    </a:solidFill>
                    <a:ln>
                      <a:noFill/>
                      <a:prstDash/>
                    </a:ln>
                  </pic:spPr>
                </pic:pic>
              </a:graphicData>
            </a:graphic>
          </wp:inline>
        </w:drawing>
      </w:r>
    </w:p>
    <w:p w:rsidR="00B60B52" w:rsidRDefault="00B60B52">
      <w:pPr>
        <w:pStyle w:val="Standard"/>
        <w:rPr>
          <w:sz w:val="20"/>
          <w:szCs w:val="20"/>
        </w:rPr>
      </w:pPr>
    </w:p>
    <w:p w:rsidR="00B60B52" w:rsidRDefault="00B60B52">
      <w:pPr>
        <w:pStyle w:val="Standard"/>
        <w:ind w:left="1382" w:right="311"/>
        <w:jc w:val="both"/>
        <w:rPr>
          <w:rFonts w:ascii="Arial" w:eastAsia="Arial" w:hAnsi="Arial" w:cs="Arial"/>
          <w:b/>
          <w:bCs/>
        </w:rPr>
      </w:pPr>
    </w:p>
    <w:p w:rsidR="00B60B52" w:rsidRPr="00F3553D" w:rsidRDefault="004271FF" w:rsidP="00F3553D">
      <w:pPr>
        <w:pStyle w:val="Standard"/>
        <w:spacing w:line="276" w:lineRule="auto"/>
        <w:ind w:left="1382" w:right="307"/>
        <w:jc w:val="both"/>
        <w:rPr>
          <w:rFonts w:ascii="Arial" w:eastAsia="Arial" w:hAnsi="Arial" w:cs="Arial"/>
          <w:b/>
        </w:rPr>
      </w:pPr>
      <w:r w:rsidRPr="00F3553D">
        <w:rPr>
          <w:rFonts w:ascii="Arial" w:eastAsia="Arial" w:hAnsi="Arial" w:cs="Arial"/>
          <w:b/>
        </w:rPr>
        <w:t xml:space="preserve">In summary, inflation will remain at near zero and should increase in 2016 to a target of 2%. Interest rates will remain poor in the immediate future, increasing only gradually from early 2016. </w:t>
      </w:r>
    </w:p>
    <w:p w:rsidR="00F3553D" w:rsidRDefault="00F3553D" w:rsidP="00F3553D">
      <w:pPr>
        <w:pStyle w:val="Standard"/>
        <w:pageBreakBefore/>
        <w:spacing w:before="7"/>
      </w:pPr>
    </w:p>
    <w:p w:rsidR="00F3553D" w:rsidRDefault="00F3553D" w:rsidP="00F3553D">
      <w:pPr>
        <w:pStyle w:val="Standard"/>
        <w:numPr>
          <w:ilvl w:val="0"/>
          <w:numId w:val="13"/>
        </w:numPr>
        <w:ind w:right="619"/>
        <w:jc w:val="both"/>
      </w:pPr>
      <w:r>
        <w:rPr>
          <w:rFonts w:ascii="Arial" w:eastAsia="Arial" w:hAnsi="Arial" w:cs="Arial"/>
          <w:b/>
          <w:bCs/>
          <w:color w:val="1FAFD6"/>
          <w:sz w:val="48"/>
          <w:szCs w:val="48"/>
        </w:rPr>
        <w:t>Economic and Markets Report</w:t>
      </w:r>
    </w:p>
    <w:p w:rsidR="00B60B52" w:rsidRDefault="00B60B52">
      <w:pPr>
        <w:pStyle w:val="Standard"/>
        <w:tabs>
          <w:tab w:val="left" w:pos="1918"/>
        </w:tabs>
        <w:ind w:left="1440" w:right="300"/>
      </w:pPr>
    </w:p>
    <w:p w:rsidR="00B60B52" w:rsidRDefault="00B60B52">
      <w:pPr>
        <w:pStyle w:val="Standard"/>
        <w:spacing w:before="5"/>
        <w:rPr>
          <w:sz w:val="16"/>
          <w:szCs w:val="16"/>
        </w:rPr>
      </w:pPr>
    </w:p>
    <w:p w:rsidR="00B60B52" w:rsidRPr="00F3553D" w:rsidRDefault="00B60B52">
      <w:pPr>
        <w:pStyle w:val="Standard"/>
        <w:rPr>
          <w:rFonts w:ascii="Arial" w:eastAsia="Arial" w:hAnsi="Arial" w:cs="Arial"/>
        </w:rPr>
      </w:pPr>
    </w:p>
    <w:p w:rsidR="00B60B52" w:rsidRPr="00F3553D" w:rsidRDefault="004271FF" w:rsidP="005C38DE">
      <w:pPr>
        <w:pStyle w:val="Standard"/>
        <w:spacing w:line="276" w:lineRule="auto"/>
        <w:ind w:left="1382" w:right="193"/>
        <w:jc w:val="both"/>
        <w:rPr>
          <w:rFonts w:ascii="Arial" w:eastAsia="Arial" w:hAnsi="Arial" w:cs="Arial"/>
        </w:rPr>
      </w:pPr>
      <w:r>
        <w:rPr>
          <w:rFonts w:ascii="Arial" w:eastAsia="Arial" w:hAnsi="Arial" w:cs="Arial"/>
        </w:rPr>
        <w:t>This outlook is completely independent in its focus and should not in isolation be the basis in which to make a financial decision. Please refer to your financial advisor for further advice before making any investment decision, as we are not regulated to provide financial advice. If you do not have a financial adviser we can introduce one to you.</w:t>
      </w:r>
    </w:p>
    <w:p w:rsidR="00B60B52" w:rsidRDefault="00B60B52">
      <w:pPr>
        <w:pStyle w:val="Standard"/>
        <w:rPr>
          <w:sz w:val="20"/>
          <w:szCs w:val="20"/>
        </w:rPr>
      </w:pPr>
    </w:p>
    <w:p w:rsidR="00B60B52" w:rsidRDefault="004271FF">
      <w:pPr>
        <w:pStyle w:val="Heading2"/>
        <w:ind w:right="1696"/>
        <w:jc w:val="both"/>
      </w:pPr>
      <w:r>
        <w:t>Stock Market Performance 2014/15</w:t>
      </w:r>
    </w:p>
    <w:p w:rsidR="00B60B52" w:rsidRDefault="00B60B52">
      <w:pPr>
        <w:pStyle w:val="Standard"/>
        <w:spacing w:before="2"/>
        <w:rPr>
          <w:sz w:val="12"/>
          <w:szCs w:val="12"/>
        </w:rPr>
      </w:pPr>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rPr>
          <w:sz w:val="20"/>
          <w:szCs w:val="20"/>
        </w:rPr>
      </w:pPr>
    </w:p>
    <w:p w:rsidR="00B60B52" w:rsidRDefault="004271FF">
      <w:pPr>
        <w:pStyle w:val="Standard"/>
        <w:ind w:left="1382" w:right="10204"/>
      </w:pPr>
      <w:r>
        <w:rPr>
          <w:noProof/>
        </w:rPr>
        <w:drawing>
          <wp:inline distT="0" distB="0" distL="0" distR="0">
            <wp:extent cx="4890240" cy="2176560"/>
            <wp:effectExtent l="0" t="0" r="0" b="0"/>
            <wp:docPr id="3" name="Picture 3" descr="United Kingdom Stock Market (FTSE 10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stretch>
                      <a:fillRect/>
                    </a:stretch>
                  </pic:blipFill>
                  <pic:spPr>
                    <a:xfrm>
                      <a:off x="0" y="0"/>
                      <a:ext cx="4890240" cy="2176560"/>
                    </a:xfrm>
                    <a:prstGeom prst="rect">
                      <a:avLst/>
                    </a:prstGeom>
                    <a:solidFill>
                      <a:srgbClr val="FFFFFF"/>
                    </a:solidFill>
                    <a:ln>
                      <a:noFill/>
                      <a:prstDash/>
                    </a:ln>
                  </pic:spPr>
                </pic:pic>
              </a:graphicData>
            </a:graphic>
          </wp:inline>
        </w:drawing>
      </w:r>
    </w:p>
    <w:p w:rsidR="00B60B52" w:rsidRDefault="00B60B52">
      <w:pPr>
        <w:pStyle w:val="Standard"/>
        <w:spacing w:before="1"/>
        <w:rPr>
          <w:sz w:val="16"/>
          <w:szCs w:val="16"/>
        </w:rPr>
      </w:pPr>
    </w:p>
    <w:p w:rsidR="00B60B52" w:rsidRDefault="00B60B52">
      <w:pPr>
        <w:pStyle w:val="Standard"/>
        <w:rPr>
          <w:sz w:val="20"/>
          <w:szCs w:val="20"/>
        </w:rPr>
      </w:pPr>
    </w:p>
    <w:p w:rsidR="00B60B52" w:rsidRPr="000F6D3B" w:rsidRDefault="004271FF" w:rsidP="005C38DE">
      <w:pPr>
        <w:pStyle w:val="Standard"/>
        <w:spacing w:line="276" w:lineRule="auto"/>
        <w:ind w:left="1382" w:right="193"/>
        <w:jc w:val="both"/>
        <w:rPr>
          <w:rFonts w:ascii="Arial" w:eastAsia="Arial" w:hAnsi="Arial" w:cs="Arial"/>
        </w:rPr>
      </w:pPr>
      <w:r>
        <w:rPr>
          <w:rFonts w:ascii="Arial" w:eastAsia="Arial" w:hAnsi="Arial" w:cs="Arial"/>
        </w:rPr>
        <w:t xml:space="preserve">Despite hitting a 14-year high of 6,904.9 in September, the FTSE 100 slumped in the autumn, brought on in no small part by a dramatic fall in commodity and oil prices, along with substantial drops in Sainsbury’s, </w:t>
      </w:r>
      <w:proofErr w:type="spellStart"/>
      <w:r>
        <w:rPr>
          <w:rFonts w:ascii="Arial" w:eastAsia="Arial" w:hAnsi="Arial" w:cs="Arial"/>
        </w:rPr>
        <w:t>Morrisons</w:t>
      </w:r>
      <w:proofErr w:type="spellEnd"/>
      <w:r>
        <w:rPr>
          <w:rFonts w:ascii="Arial" w:eastAsia="Arial" w:hAnsi="Arial" w:cs="Arial"/>
        </w:rPr>
        <w:t xml:space="preserve"> and Tesco. Predictions of a record level by year’s end proved inaccurate, with the FTSE 100 finishing the year 2.7% down, and 2015 predictions are more conservative, with observers warning of large swings throughout the year and the FTSE ending the year marginally down on its starting level at around 6,200.</w:t>
      </w:r>
    </w:p>
    <w:p w:rsidR="00B60B52" w:rsidRDefault="00B60B52">
      <w:pPr>
        <w:pStyle w:val="Standard"/>
        <w:pageBreakBefore/>
        <w:spacing w:before="1"/>
      </w:pPr>
    </w:p>
    <w:p w:rsidR="00B60B52" w:rsidRDefault="00B60B52">
      <w:pPr>
        <w:pStyle w:val="Standard"/>
        <w:rPr>
          <w:sz w:val="20"/>
          <w:szCs w:val="20"/>
        </w:rPr>
      </w:pPr>
    </w:p>
    <w:p w:rsidR="00B60B52" w:rsidRDefault="00B60B52">
      <w:pPr>
        <w:pStyle w:val="Standard"/>
        <w:rPr>
          <w:sz w:val="20"/>
          <w:szCs w:val="20"/>
        </w:rPr>
      </w:pPr>
    </w:p>
    <w:p w:rsidR="00B60B52" w:rsidRDefault="004271FF" w:rsidP="000F6D3B">
      <w:pPr>
        <w:pStyle w:val="Heading2"/>
        <w:ind w:right="1696"/>
        <w:jc w:val="both"/>
      </w:pPr>
      <w:r w:rsidRPr="000F6D3B">
        <w:t>T</w:t>
      </w:r>
      <w:r w:rsidR="000F6D3B" w:rsidRPr="000F6D3B">
        <w:t xml:space="preserve">op performers of </w:t>
      </w:r>
      <w:r w:rsidRPr="000F6D3B">
        <w:t>2014/15</w:t>
      </w:r>
    </w:p>
    <w:p w:rsidR="000F6D3B" w:rsidRDefault="000F6D3B" w:rsidP="000F6D3B">
      <w:pPr>
        <w:pStyle w:val="Heading2"/>
        <w:ind w:right="1696"/>
        <w:jc w:val="both"/>
      </w:pPr>
    </w:p>
    <w:p w:rsidR="005C38DE" w:rsidRDefault="005C38DE" w:rsidP="000F6D3B">
      <w:pPr>
        <w:pStyle w:val="Heading2"/>
        <w:ind w:right="1696"/>
        <w:jc w:val="both"/>
      </w:pPr>
    </w:p>
    <w:p w:rsidR="005C38DE" w:rsidRDefault="005C38DE" w:rsidP="000F6D3B">
      <w:pPr>
        <w:pStyle w:val="Heading2"/>
        <w:ind w:right="1696"/>
        <w:jc w:val="both"/>
      </w:pPr>
    </w:p>
    <w:tbl>
      <w:tblPr>
        <w:tblpPr w:leftFromText="180" w:rightFromText="180" w:vertAnchor="text" w:horzAnchor="page" w:tblpX="3054" w:tblpY="106"/>
        <w:tblW w:w="0" w:type="auto"/>
        <w:tblLayout w:type="fixed"/>
        <w:tblCellMar>
          <w:left w:w="0" w:type="dxa"/>
          <w:right w:w="0" w:type="dxa"/>
        </w:tblCellMar>
        <w:tblLook w:val="01E0" w:firstRow="1" w:lastRow="1" w:firstColumn="1" w:lastColumn="1" w:noHBand="0" w:noVBand="0"/>
      </w:tblPr>
      <w:tblGrid>
        <w:gridCol w:w="3686"/>
        <w:gridCol w:w="2127"/>
        <w:gridCol w:w="1559"/>
      </w:tblGrid>
      <w:tr w:rsidR="000F6D3B" w:rsidTr="005C38DE">
        <w:trPr>
          <w:trHeight w:hRule="exact" w:val="515"/>
        </w:trPr>
        <w:tc>
          <w:tcPr>
            <w:tcW w:w="3686" w:type="dxa"/>
            <w:tcBorders>
              <w:top w:val="nil"/>
              <w:left w:val="nil"/>
              <w:bottom w:val="single" w:sz="25" w:space="0" w:color="E2E2E2"/>
              <w:right w:val="nil"/>
            </w:tcBorders>
          </w:tcPr>
          <w:p w:rsidR="000F6D3B" w:rsidRDefault="000F6D3B" w:rsidP="005C38DE">
            <w:pPr>
              <w:pStyle w:val="TableParagraph"/>
              <w:spacing w:before="69"/>
              <w:ind w:left="88"/>
              <w:rPr>
                <w:rFonts w:ascii="Times New Roman" w:eastAsia="Times New Roman" w:hAnsi="Times New Roman" w:cs="Times New Roman"/>
                <w:sz w:val="24"/>
                <w:szCs w:val="24"/>
              </w:rPr>
            </w:pPr>
            <w:r w:rsidRPr="000F6D3B">
              <w:rPr>
                <w:rFonts w:ascii="Arial" w:eastAsia="Arial" w:hAnsi="Arial" w:cs="Arial"/>
                <w:b/>
                <w:bCs/>
                <w:color w:val="000000"/>
                <w:kern w:val="3"/>
                <w:lang w:val="en-GB" w:eastAsia="en-GB"/>
              </w:rPr>
              <w:t>Company</w:t>
            </w:r>
          </w:p>
        </w:tc>
        <w:tc>
          <w:tcPr>
            <w:tcW w:w="2127" w:type="dxa"/>
            <w:tcBorders>
              <w:top w:val="nil"/>
              <w:left w:val="nil"/>
              <w:bottom w:val="single" w:sz="25" w:space="0" w:color="E2E2E2"/>
              <w:right w:val="nil"/>
            </w:tcBorders>
          </w:tcPr>
          <w:p w:rsidR="000F6D3B" w:rsidRPr="000F6D3B" w:rsidRDefault="000F6D3B" w:rsidP="005C38DE">
            <w:pPr>
              <w:pStyle w:val="TableParagraph"/>
              <w:spacing w:before="69"/>
              <w:rPr>
                <w:rFonts w:ascii="Arial" w:eastAsia="Arial" w:hAnsi="Arial" w:cs="Arial"/>
                <w:b/>
                <w:bCs/>
                <w:color w:val="000000"/>
                <w:kern w:val="3"/>
                <w:lang w:val="en-GB" w:eastAsia="en-GB"/>
              </w:rPr>
            </w:pPr>
            <w:r w:rsidRPr="000F6D3B">
              <w:rPr>
                <w:rFonts w:ascii="Arial" w:eastAsia="Arial" w:hAnsi="Arial" w:cs="Arial"/>
                <w:b/>
                <w:bCs/>
                <w:color w:val="000000"/>
                <w:kern w:val="3"/>
                <w:lang w:val="en-GB" w:eastAsia="en-GB"/>
              </w:rPr>
              <w:t>Industry</w:t>
            </w:r>
          </w:p>
        </w:tc>
        <w:tc>
          <w:tcPr>
            <w:tcW w:w="1559" w:type="dxa"/>
            <w:tcBorders>
              <w:top w:val="nil"/>
              <w:left w:val="nil"/>
              <w:bottom w:val="single" w:sz="25" w:space="0" w:color="E2E2E2"/>
              <w:right w:val="nil"/>
            </w:tcBorders>
          </w:tcPr>
          <w:p w:rsidR="000F6D3B" w:rsidRPr="000F6D3B" w:rsidRDefault="000F6D3B" w:rsidP="005C38DE">
            <w:pPr>
              <w:pStyle w:val="TableParagraph"/>
              <w:spacing w:before="69"/>
              <w:ind w:right="32"/>
              <w:rPr>
                <w:rFonts w:ascii="Arial" w:eastAsia="Arial" w:hAnsi="Arial" w:cs="Arial"/>
                <w:b/>
                <w:bCs/>
                <w:color w:val="000000"/>
                <w:kern w:val="3"/>
                <w:lang w:val="en-GB" w:eastAsia="en-GB"/>
              </w:rPr>
            </w:pPr>
            <w:r w:rsidRPr="000F6D3B">
              <w:rPr>
                <w:rFonts w:ascii="Arial" w:eastAsia="Arial" w:hAnsi="Arial" w:cs="Arial"/>
                <w:b/>
                <w:bCs/>
                <w:color w:val="000000"/>
                <w:kern w:val="3"/>
                <w:lang w:val="en-GB" w:eastAsia="en-GB"/>
              </w:rPr>
              <w:t>% Gain</w:t>
            </w:r>
          </w:p>
        </w:tc>
      </w:tr>
      <w:tr w:rsidR="000F6D3B" w:rsidTr="005C38DE">
        <w:trPr>
          <w:trHeight w:hRule="exact" w:val="404"/>
        </w:trPr>
        <w:tc>
          <w:tcPr>
            <w:tcW w:w="3686" w:type="dxa"/>
            <w:tcBorders>
              <w:top w:val="single" w:sz="25" w:space="0" w:color="E2E2E2"/>
              <w:left w:val="nil"/>
              <w:bottom w:val="single" w:sz="25" w:space="0" w:color="E2E2E2"/>
              <w:right w:val="nil"/>
            </w:tcBorders>
            <w:shd w:val="clear" w:color="auto" w:fill="E2E2E2"/>
            <w:vAlign w:val="center"/>
          </w:tcPr>
          <w:p w:rsidR="000F6D3B" w:rsidRPr="006905CE" w:rsidRDefault="000F6D3B" w:rsidP="005C38DE">
            <w:pPr>
              <w:pStyle w:val="TableParagraph"/>
              <w:spacing w:before="4"/>
              <w:ind w:left="120"/>
              <w:rPr>
                <w:rFonts w:ascii="Arial" w:eastAsia="Arial" w:hAnsi="Arial" w:cs="Arial"/>
                <w:color w:val="000000"/>
                <w:kern w:val="3"/>
                <w:sz w:val="20"/>
                <w:szCs w:val="20"/>
                <w:lang w:val="en-GB" w:eastAsia="en-GB"/>
              </w:rPr>
            </w:pPr>
            <w:r w:rsidRPr="006905CE">
              <w:rPr>
                <w:rFonts w:ascii="Arial" w:eastAsia="Arial" w:hAnsi="Arial" w:cs="Arial"/>
                <w:b/>
                <w:bCs/>
                <w:color w:val="1FAFD6"/>
                <w:kern w:val="3"/>
                <w:sz w:val="20"/>
                <w:szCs w:val="20"/>
                <w:lang w:val="en-GB" w:eastAsia="en-GB"/>
              </w:rPr>
              <w:t xml:space="preserve">Dixons </w:t>
            </w:r>
            <w:proofErr w:type="spellStart"/>
            <w:r w:rsidRPr="006905CE">
              <w:rPr>
                <w:rFonts w:ascii="Arial" w:eastAsia="Arial" w:hAnsi="Arial" w:cs="Arial"/>
                <w:b/>
                <w:bCs/>
                <w:color w:val="1FAFD6"/>
                <w:kern w:val="3"/>
                <w:sz w:val="20"/>
                <w:szCs w:val="20"/>
                <w:lang w:val="en-GB" w:eastAsia="en-GB"/>
              </w:rPr>
              <w:t>Carphone</w:t>
            </w:r>
            <w:proofErr w:type="spellEnd"/>
            <w:r w:rsidRPr="006905CE">
              <w:rPr>
                <w:rFonts w:ascii="Arial" w:eastAsia="Arial" w:hAnsi="Arial" w:cs="Arial"/>
                <w:b/>
                <w:bCs/>
                <w:color w:val="1FAFD6"/>
                <w:kern w:val="3"/>
                <w:sz w:val="20"/>
                <w:szCs w:val="20"/>
                <w:lang w:val="en-GB" w:eastAsia="en-GB"/>
              </w:rPr>
              <w:t xml:space="preserve"> PLC</w:t>
            </w:r>
          </w:p>
        </w:tc>
        <w:tc>
          <w:tcPr>
            <w:tcW w:w="2127" w:type="dxa"/>
            <w:tcBorders>
              <w:top w:val="single" w:sz="25" w:space="0" w:color="E2E2E2"/>
              <w:left w:val="nil"/>
              <w:bottom w:val="single" w:sz="25" w:space="0" w:color="E2E2E2"/>
              <w:right w:val="nil"/>
            </w:tcBorders>
            <w:shd w:val="clear" w:color="auto" w:fill="E2E2E2"/>
          </w:tcPr>
          <w:p w:rsidR="000F6D3B" w:rsidRPr="006905CE" w:rsidRDefault="000F6D3B" w:rsidP="005C38DE">
            <w:pPr>
              <w:pStyle w:val="TableParagraph"/>
              <w:rPr>
                <w:rFonts w:ascii="Arial" w:eastAsia="Arial" w:hAnsi="Arial" w:cs="Arial"/>
                <w:color w:val="000000"/>
                <w:kern w:val="3"/>
                <w:sz w:val="21"/>
                <w:szCs w:val="21"/>
                <w:lang w:val="en-GB" w:eastAsia="en-GB"/>
              </w:rPr>
            </w:pPr>
            <w:r w:rsidRPr="006905CE">
              <w:rPr>
                <w:rFonts w:ascii="Arial" w:eastAsia="Arial" w:hAnsi="Arial" w:cs="Arial"/>
                <w:color w:val="000000"/>
                <w:kern w:val="3"/>
                <w:sz w:val="21"/>
                <w:szCs w:val="21"/>
                <w:lang w:val="en-GB" w:eastAsia="en-GB"/>
              </w:rPr>
              <w:t>General Retail</w:t>
            </w:r>
          </w:p>
        </w:tc>
        <w:tc>
          <w:tcPr>
            <w:tcW w:w="1559" w:type="dxa"/>
            <w:tcBorders>
              <w:top w:val="single" w:sz="25" w:space="0" w:color="E2E2E2"/>
              <w:left w:val="nil"/>
              <w:bottom w:val="single" w:sz="25" w:space="0" w:color="E2E2E2"/>
              <w:right w:val="single" w:sz="16" w:space="0" w:color="E2E2E2"/>
            </w:tcBorders>
            <w:shd w:val="clear" w:color="auto" w:fill="E2E2E2"/>
          </w:tcPr>
          <w:p w:rsidR="000F6D3B" w:rsidRPr="006905CE" w:rsidRDefault="000F6D3B" w:rsidP="005C38DE">
            <w:pPr>
              <w:pStyle w:val="TableParagraph"/>
              <w:rPr>
                <w:rFonts w:ascii="Arial" w:eastAsia="Arial" w:hAnsi="Arial" w:cs="Arial"/>
                <w:color w:val="000000"/>
                <w:kern w:val="3"/>
                <w:sz w:val="21"/>
                <w:szCs w:val="21"/>
                <w:lang w:val="en-GB" w:eastAsia="en-GB"/>
              </w:rPr>
            </w:pPr>
            <w:r w:rsidRPr="006905CE">
              <w:rPr>
                <w:rFonts w:ascii="Arial" w:eastAsia="Arial" w:hAnsi="Arial" w:cs="Arial"/>
                <w:color w:val="000000"/>
                <w:kern w:val="3"/>
                <w:sz w:val="21"/>
                <w:szCs w:val="21"/>
                <w:lang w:val="en-GB" w:eastAsia="en-GB"/>
              </w:rPr>
              <w:t>68.19</w:t>
            </w:r>
          </w:p>
        </w:tc>
      </w:tr>
      <w:tr w:rsidR="000F6D3B" w:rsidTr="005C38DE">
        <w:trPr>
          <w:trHeight w:hRule="exact" w:val="389"/>
        </w:trPr>
        <w:tc>
          <w:tcPr>
            <w:tcW w:w="3686" w:type="dxa"/>
            <w:tcBorders>
              <w:top w:val="single" w:sz="25" w:space="0" w:color="E2E2E2"/>
              <w:left w:val="nil"/>
              <w:bottom w:val="single" w:sz="25" w:space="0" w:color="F5F5F5"/>
              <w:right w:val="nil"/>
            </w:tcBorders>
            <w:shd w:val="clear" w:color="auto" w:fill="F5F5F5"/>
            <w:vAlign w:val="center"/>
          </w:tcPr>
          <w:p w:rsidR="000F6D3B" w:rsidRPr="006905CE" w:rsidRDefault="000F6D3B" w:rsidP="005C38DE">
            <w:pPr>
              <w:pStyle w:val="TableParagraph"/>
              <w:spacing w:before="4"/>
              <w:ind w:left="120"/>
              <w:rPr>
                <w:rFonts w:ascii="Arial" w:eastAsia="Arial" w:hAnsi="Arial" w:cs="Arial"/>
                <w:b/>
                <w:bCs/>
                <w:color w:val="1FAFD6"/>
                <w:kern w:val="3"/>
                <w:sz w:val="20"/>
                <w:szCs w:val="20"/>
                <w:lang w:val="en-GB" w:eastAsia="en-GB"/>
              </w:rPr>
            </w:pPr>
            <w:r w:rsidRPr="006905CE">
              <w:rPr>
                <w:rFonts w:ascii="Arial" w:eastAsia="Arial" w:hAnsi="Arial" w:cs="Arial"/>
                <w:b/>
                <w:bCs/>
                <w:color w:val="1FAFD6"/>
                <w:kern w:val="3"/>
                <w:sz w:val="20"/>
                <w:szCs w:val="20"/>
                <w:lang w:val="en-GB" w:eastAsia="en-GB"/>
              </w:rPr>
              <w:t>Shire PLC</w:t>
            </w:r>
          </w:p>
        </w:tc>
        <w:tc>
          <w:tcPr>
            <w:tcW w:w="2127" w:type="dxa"/>
            <w:tcBorders>
              <w:top w:val="single" w:sz="25" w:space="0" w:color="E2E2E2"/>
              <w:left w:val="nil"/>
              <w:bottom w:val="single" w:sz="25" w:space="0" w:color="F5F5F5"/>
              <w:right w:val="nil"/>
            </w:tcBorders>
            <w:shd w:val="clear" w:color="auto" w:fill="F5F5F5"/>
          </w:tcPr>
          <w:p w:rsidR="000F6D3B" w:rsidRPr="006905CE" w:rsidRDefault="000F6D3B" w:rsidP="005C38DE">
            <w:pPr>
              <w:pStyle w:val="TableParagraph"/>
              <w:rPr>
                <w:rFonts w:ascii="Arial" w:eastAsia="Arial" w:hAnsi="Arial" w:cs="Arial"/>
                <w:color w:val="000000"/>
                <w:kern w:val="3"/>
                <w:sz w:val="21"/>
                <w:szCs w:val="21"/>
                <w:lang w:val="en-GB" w:eastAsia="en-GB"/>
              </w:rPr>
            </w:pPr>
            <w:r w:rsidRPr="006905CE">
              <w:rPr>
                <w:rFonts w:ascii="Arial" w:eastAsia="Arial" w:hAnsi="Arial" w:cs="Arial"/>
                <w:color w:val="000000"/>
                <w:kern w:val="3"/>
                <w:sz w:val="21"/>
                <w:szCs w:val="21"/>
                <w:lang w:val="en-GB" w:eastAsia="en-GB"/>
              </w:rPr>
              <w:t>Pharmaceuticals</w:t>
            </w:r>
          </w:p>
        </w:tc>
        <w:tc>
          <w:tcPr>
            <w:tcW w:w="1559" w:type="dxa"/>
            <w:tcBorders>
              <w:top w:val="single" w:sz="25" w:space="0" w:color="E2E2E2"/>
              <w:left w:val="nil"/>
              <w:bottom w:val="single" w:sz="25" w:space="0" w:color="F5F5F5"/>
              <w:right w:val="nil"/>
            </w:tcBorders>
            <w:shd w:val="clear" w:color="auto" w:fill="F5F5F5"/>
          </w:tcPr>
          <w:p w:rsidR="000F6D3B" w:rsidRPr="006905CE" w:rsidRDefault="000F6D3B" w:rsidP="005C38DE">
            <w:pPr>
              <w:pStyle w:val="TableParagraph"/>
              <w:rPr>
                <w:rFonts w:ascii="Arial" w:eastAsia="Arial" w:hAnsi="Arial" w:cs="Arial"/>
                <w:color w:val="000000"/>
                <w:kern w:val="3"/>
                <w:sz w:val="21"/>
                <w:szCs w:val="21"/>
                <w:lang w:val="en-GB" w:eastAsia="en-GB"/>
              </w:rPr>
            </w:pPr>
            <w:r w:rsidRPr="006905CE">
              <w:rPr>
                <w:rFonts w:ascii="Arial" w:eastAsia="Arial" w:hAnsi="Arial" w:cs="Arial"/>
                <w:color w:val="000000"/>
                <w:kern w:val="3"/>
                <w:sz w:val="21"/>
                <w:szCs w:val="21"/>
                <w:lang w:val="en-GB" w:eastAsia="en-GB"/>
              </w:rPr>
              <w:t>57.78</w:t>
            </w:r>
          </w:p>
        </w:tc>
      </w:tr>
      <w:tr w:rsidR="000F6D3B" w:rsidTr="005C38DE">
        <w:trPr>
          <w:trHeight w:hRule="exact" w:val="398"/>
        </w:trPr>
        <w:tc>
          <w:tcPr>
            <w:tcW w:w="3686" w:type="dxa"/>
            <w:tcBorders>
              <w:top w:val="single" w:sz="25" w:space="0" w:color="F5F5F5"/>
              <w:left w:val="nil"/>
              <w:bottom w:val="single" w:sz="25" w:space="0" w:color="E2E2E2"/>
              <w:right w:val="nil"/>
            </w:tcBorders>
            <w:shd w:val="clear" w:color="auto" w:fill="E2E2E2"/>
            <w:vAlign w:val="center"/>
          </w:tcPr>
          <w:p w:rsidR="000F6D3B" w:rsidRPr="006905CE" w:rsidRDefault="00E95ADD" w:rsidP="005C38DE">
            <w:pPr>
              <w:pStyle w:val="TableParagraph"/>
              <w:spacing w:before="4"/>
              <w:ind w:left="120"/>
              <w:rPr>
                <w:rFonts w:ascii="Arial" w:eastAsia="Arial" w:hAnsi="Arial" w:cs="Arial"/>
                <w:b/>
                <w:bCs/>
                <w:color w:val="1FAFD6"/>
                <w:kern w:val="3"/>
                <w:sz w:val="20"/>
                <w:szCs w:val="20"/>
                <w:lang w:val="en-GB" w:eastAsia="en-GB"/>
              </w:rPr>
            </w:pPr>
            <w:hyperlink r:id="rId11">
              <w:r w:rsidR="000F6D3B" w:rsidRPr="006905CE">
                <w:rPr>
                  <w:rFonts w:ascii="Arial" w:eastAsia="Arial" w:hAnsi="Arial" w:cs="Arial"/>
                  <w:b/>
                  <w:bCs/>
                  <w:color w:val="1FAFD6"/>
                  <w:kern w:val="3"/>
                  <w:sz w:val="20"/>
                  <w:szCs w:val="20"/>
                  <w:lang w:val="en-GB" w:eastAsia="en-GB"/>
                </w:rPr>
                <w:t>Ashtead</w:t>
              </w:r>
            </w:hyperlink>
            <w:r w:rsidR="000F6D3B" w:rsidRPr="006905CE">
              <w:rPr>
                <w:rFonts w:ascii="Arial" w:eastAsia="Arial" w:hAnsi="Arial" w:cs="Arial"/>
                <w:b/>
                <w:bCs/>
                <w:color w:val="1FAFD6"/>
                <w:kern w:val="3"/>
                <w:sz w:val="20"/>
                <w:szCs w:val="20"/>
                <w:lang w:val="en-GB" w:eastAsia="en-GB"/>
              </w:rPr>
              <w:t xml:space="preserve"> Group PLC</w:t>
            </w:r>
          </w:p>
        </w:tc>
        <w:tc>
          <w:tcPr>
            <w:tcW w:w="2127" w:type="dxa"/>
            <w:tcBorders>
              <w:top w:val="single" w:sz="25" w:space="0" w:color="F5F5F5"/>
              <w:left w:val="nil"/>
              <w:bottom w:val="single" w:sz="25" w:space="0" w:color="E2E2E2"/>
              <w:right w:val="nil"/>
            </w:tcBorders>
            <w:shd w:val="clear" w:color="auto" w:fill="E2E2E2"/>
          </w:tcPr>
          <w:p w:rsidR="000F6D3B" w:rsidRPr="006905CE" w:rsidRDefault="000F6D3B" w:rsidP="005C38DE">
            <w:pPr>
              <w:pStyle w:val="TableParagraph"/>
              <w:spacing w:before="90"/>
              <w:rPr>
                <w:rFonts w:ascii="Arial" w:eastAsia="Arial" w:hAnsi="Arial" w:cs="Arial"/>
                <w:color w:val="000000"/>
                <w:kern w:val="3"/>
                <w:sz w:val="21"/>
                <w:szCs w:val="21"/>
                <w:lang w:val="en-GB" w:eastAsia="en-GB"/>
              </w:rPr>
            </w:pPr>
            <w:r w:rsidRPr="006905CE">
              <w:rPr>
                <w:rFonts w:ascii="Arial" w:eastAsia="Arial" w:hAnsi="Arial" w:cs="Arial"/>
                <w:color w:val="000000"/>
                <w:kern w:val="3"/>
                <w:sz w:val="21"/>
                <w:szCs w:val="21"/>
                <w:lang w:val="en-GB" w:eastAsia="en-GB"/>
              </w:rPr>
              <w:t>Support Services</w:t>
            </w:r>
          </w:p>
        </w:tc>
        <w:tc>
          <w:tcPr>
            <w:tcW w:w="1559" w:type="dxa"/>
            <w:tcBorders>
              <w:top w:val="single" w:sz="25" w:space="0" w:color="F5F5F5"/>
              <w:left w:val="nil"/>
              <w:bottom w:val="single" w:sz="25" w:space="0" w:color="E2E2E2"/>
              <w:right w:val="nil"/>
            </w:tcBorders>
            <w:shd w:val="clear" w:color="auto" w:fill="E2E2E2"/>
          </w:tcPr>
          <w:p w:rsidR="000F6D3B" w:rsidRPr="006905CE" w:rsidRDefault="000F6D3B" w:rsidP="005C38DE">
            <w:pPr>
              <w:pStyle w:val="TableParagraph"/>
              <w:spacing w:before="83"/>
              <w:rPr>
                <w:rFonts w:ascii="Arial" w:eastAsia="Arial" w:hAnsi="Arial" w:cs="Arial"/>
                <w:color w:val="000000"/>
                <w:kern w:val="3"/>
                <w:sz w:val="21"/>
                <w:szCs w:val="21"/>
                <w:lang w:val="en-GB" w:eastAsia="en-GB"/>
              </w:rPr>
            </w:pPr>
            <w:r w:rsidRPr="006905CE">
              <w:rPr>
                <w:rFonts w:ascii="Arial" w:eastAsia="Arial" w:hAnsi="Arial" w:cs="Arial"/>
                <w:color w:val="000000"/>
                <w:kern w:val="3"/>
                <w:sz w:val="21"/>
                <w:szCs w:val="21"/>
                <w:lang w:val="en-GB" w:eastAsia="en-GB"/>
              </w:rPr>
              <w:t>52.11</w:t>
            </w:r>
          </w:p>
        </w:tc>
      </w:tr>
      <w:tr w:rsidR="000F6D3B" w:rsidTr="005C38DE">
        <w:trPr>
          <w:trHeight w:hRule="exact" w:val="377"/>
        </w:trPr>
        <w:tc>
          <w:tcPr>
            <w:tcW w:w="3686" w:type="dxa"/>
            <w:tcBorders>
              <w:top w:val="single" w:sz="25" w:space="0" w:color="E2E2E2"/>
              <w:left w:val="nil"/>
              <w:bottom w:val="single" w:sz="25" w:space="0" w:color="F5F5F5"/>
              <w:right w:val="nil"/>
            </w:tcBorders>
            <w:shd w:val="clear" w:color="auto" w:fill="F5F5F5"/>
            <w:vAlign w:val="center"/>
          </w:tcPr>
          <w:p w:rsidR="000F6D3B" w:rsidRPr="006905CE" w:rsidRDefault="00E95ADD" w:rsidP="005C38DE">
            <w:pPr>
              <w:pStyle w:val="TableParagraph"/>
              <w:spacing w:before="4"/>
              <w:ind w:left="120"/>
              <w:rPr>
                <w:rFonts w:ascii="Arial" w:eastAsia="Arial" w:hAnsi="Arial" w:cs="Arial"/>
                <w:b/>
                <w:bCs/>
                <w:color w:val="1FAFD6"/>
                <w:kern w:val="3"/>
                <w:sz w:val="20"/>
                <w:szCs w:val="20"/>
                <w:lang w:val="en-GB" w:eastAsia="en-GB"/>
              </w:rPr>
            </w:pPr>
            <w:hyperlink r:id="rId12">
              <w:r w:rsidR="000F6D3B" w:rsidRPr="006905CE">
                <w:rPr>
                  <w:rFonts w:ascii="Arial" w:eastAsia="Arial" w:hAnsi="Arial" w:cs="Arial"/>
                  <w:b/>
                  <w:bCs/>
                  <w:color w:val="1FAFD6"/>
                  <w:kern w:val="3"/>
                  <w:sz w:val="20"/>
                  <w:szCs w:val="20"/>
                  <w:lang w:val="en-GB" w:eastAsia="en-GB"/>
                </w:rPr>
                <w:t>London</w:t>
              </w:r>
            </w:hyperlink>
            <w:r w:rsidR="000F6D3B" w:rsidRPr="006905CE">
              <w:rPr>
                <w:rFonts w:ascii="Arial" w:eastAsia="Arial" w:hAnsi="Arial" w:cs="Arial"/>
                <w:b/>
                <w:bCs/>
                <w:color w:val="1FAFD6"/>
                <w:kern w:val="3"/>
                <w:sz w:val="20"/>
                <w:szCs w:val="20"/>
                <w:lang w:val="en-GB" w:eastAsia="en-GB"/>
              </w:rPr>
              <w:t xml:space="preserve"> Stock Exchange Group</w:t>
            </w:r>
            <w:r w:rsidR="006905CE">
              <w:rPr>
                <w:rFonts w:ascii="Arial" w:eastAsia="Arial" w:hAnsi="Arial" w:cs="Arial"/>
                <w:b/>
                <w:bCs/>
                <w:color w:val="1FAFD6"/>
                <w:kern w:val="3"/>
                <w:sz w:val="20"/>
                <w:szCs w:val="20"/>
                <w:lang w:val="en-GB" w:eastAsia="en-GB"/>
              </w:rPr>
              <w:t xml:space="preserve"> </w:t>
            </w:r>
            <w:r w:rsidR="000F6D3B" w:rsidRPr="006905CE">
              <w:rPr>
                <w:rFonts w:ascii="Arial" w:eastAsia="Arial" w:hAnsi="Arial" w:cs="Arial"/>
                <w:b/>
                <w:bCs/>
                <w:color w:val="1FAFD6"/>
                <w:kern w:val="3"/>
                <w:sz w:val="20"/>
                <w:szCs w:val="20"/>
                <w:lang w:val="en-GB" w:eastAsia="en-GB"/>
              </w:rPr>
              <w:t>PLC</w:t>
            </w:r>
          </w:p>
        </w:tc>
        <w:tc>
          <w:tcPr>
            <w:tcW w:w="2127" w:type="dxa"/>
            <w:tcBorders>
              <w:top w:val="single" w:sz="25" w:space="0" w:color="E2E2E2"/>
              <w:left w:val="nil"/>
              <w:bottom w:val="single" w:sz="25" w:space="0" w:color="F5F5F5"/>
              <w:right w:val="nil"/>
            </w:tcBorders>
            <w:shd w:val="clear" w:color="auto" w:fill="F5F5F5"/>
          </w:tcPr>
          <w:p w:rsidR="000F6D3B" w:rsidRPr="006905CE" w:rsidRDefault="000F6D3B" w:rsidP="005C38DE">
            <w:pPr>
              <w:pStyle w:val="TableParagraph"/>
              <w:spacing w:before="90"/>
              <w:rPr>
                <w:rFonts w:ascii="Arial" w:eastAsia="Arial" w:hAnsi="Arial" w:cs="Arial"/>
                <w:color w:val="000000"/>
                <w:kern w:val="3"/>
                <w:sz w:val="21"/>
                <w:szCs w:val="21"/>
                <w:lang w:val="en-GB" w:eastAsia="en-GB"/>
              </w:rPr>
            </w:pPr>
            <w:r w:rsidRPr="006905CE">
              <w:rPr>
                <w:rFonts w:ascii="Arial" w:eastAsia="Arial" w:hAnsi="Arial" w:cs="Arial"/>
                <w:color w:val="000000"/>
                <w:kern w:val="3"/>
                <w:sz w:val="21"/>
                <w:szCs w:val="21"/>
                <w:lang w:val="en-GB" w:eastAsia="en-GB"/>
              </w:rPr>
              <w:t>Financial Services</w:t>
            </w:r>
          </w:p>
        </w:tc>
        <w:tc>
          <w:tcPr>
            <w:tcW w:w="1559" w:type="dxa"/>
            <w:tcBorders>
              <w:top w:val="single" w:sz="25" w:space="0" w:color="E2E2E2"/>
              <w:left w:val="nil"/>
              <w:bottom w:val="single" w:sz="25" w:space="0" w:color="F5F5F5"/>
              <w:right w:val="single" w:sz="7" w:space="0" w:color="FFFFFF"/>
            </w:tcBorders>
            <w:shd w:val="clear" w:color="auto" w:fill="F5F5F5"/>
          </w:tcPr>
          <w:p w:rsidR="000F6D3B" w:rsidRPr="006905CE" w:rsidRDefault="000F6D3B" w:rsidP="005C38DE">
            <w:pPr>
              <w:pStyle w:val="TableParagraph"/>
              <w:spacing w:before="83"/>
              <w:rPr>
                <w:rFonts w:ascii="Arial" w:eastAsia="Arial" w:hAnsi="Arial" w:cs="Arial"/>
                <w:color w:val="000000"/>
                <w:kern w:val="3"/>
                <w:sz w:val="21"/>
                <w:szCs w:val="21"/>
                <w:lang w:val="en-GB" w:eastAsia="en-GB"/>
              </w:rPr>
            </w:pPr>
            <w:r w:rsidRPr="006905CE">
              <w:rPr>
                <w:rFonts w:ascii="Arial" w:eastAsia="Arial" w:hAnsi="Arial" w:cs="Arial"/>
                <w:color w:val="000000"/>
                <w:kern w:val="3"/>
                <w:sz w:val="21"/>
                <w:szCs w:val="21"/>
                <w:lang w:val="en-GB" w:eastAsia="en-GB"/>
              </w:rPr>
              <w:t>38.63</w:t>
            </w:r>
          </w:p>
          <w:p w:rsidR="000F6D3B" w:rsidRPr="006905CE" w:rsidRDefault="000F6D3B" w:rsidP="005C38DE">
            <w:pPr>
              <w:pStyle w:val="TableParagraph"/>
              <w:spacing w:before="83"/>
              <w:rPr>
                <w:rFonts w:ascii="Arial" w:eastAsia="Arial" w:hAnsi="Arial" w:cs="Arial"/>
                <w:color w:val="000000"/>
                <w:kern w:val="3"/>
                <w:sz w:val="21"/>
                <w:szCs w:val="21"/>
                <w:lang w:val="en-GB" w:eastAsia="en-GB"/>
              </w:rPr>
            </w:pPr>
            <w:r w:rsidRPr="006905CE">
              <w:rPr>
                <w:rFonts w:ascii="Arial" w:eastAsia="Arial" w:hAnsi="Arial" w:cs="Arial"/>
                <w:color w:val="000000"/>
                <w:kern w:val="3"/>
                <w:sz w:val="21"/>
                <w:szCs w:val="21"/>
                <w:lang w:val="en-GB" w:eastAsia="en-GB"/>
              </w:rPr>
              <w:t>62</w:t>
            </w:r>
          </w:p>
        </w:tc>
      </w:tr>
      <w:tr w:rsidR="000F6D3B" w:rsidTr="005C38DE">
        <w:trPr>
          <w:trHeight w:hRule="exact" w:val="389"/>
        </w:trPr>
        <w:tc>
          <w:tcPr>
            <w:tcW w:w="3686" w:type="dxa"/>
            <w:tcBorders>
              <w:top w:val="single" w:sz="25" w:space="0" w:color="F5F5F5"/>
              <w:left w:val="nil"/>
              <w:bottom w:val="single" w:sz="25" w:space="0" w:color="E2E2E2"/>
              <w:right w:val="nil"/>
            </w:tcBorders>
            <w:shd w:val="clear" w:color="auto" w:fill="E2E2E2"/>
            <w:vAlign w:val="center"/>
          </w:tcPr>
          <w:p w:rsidR="000F6D3B" w:rsidRPr="006905CE" w:rsidRDefault="000F6D3B" w:rsidP="005C38DE">
            <w:pPr>
              <w:pStyle w:val="TableParagraph"/>
              <w:spacing w:before="4"/>
              <w:ind w:left="120"/>
              <w:rPr>
                <w:rFonts w:ascii="Arial" w:eastAsia="Arial" w:hAnsi="Arial" w:cs="Arial"/>
                <w:b/>
                <w:bCs/>
                <w:color w:val="1FAFD6"/>
                <w:kern w:val="3"/>
                <w:sz w:val="20"/>
                <w:szCs w:val="20"/>
                <w:lang w:val="en-GB" w:eastAsia="en-GB"/>
              </w:rPr>
            </w:pPr>
            <w:r w:rsidRPr="006905CE">
              <w:rPr>
                <w:rFonts w:ascii="Arial" w:eastAsia="Arial" w:hAnsi="Arial" w:cs="Arial"/>
                <w:b/>
                <w:bCs/>
                <w:color w:val="1FAFD6"/>
                <w:kern w:val="3"/>
                <w:sz w:val="20"/>
                <w:szCs w:val="20"/>
                <w:lang w:val="en-GB" w:eastAsia="en-GB"/>
              </w:rPr>
              <w:t>Smith &amp; Nephew PLC</w:t>
            </w:r>
          </w:p>
        </w:tc>
        <w:tc>
          <w:tcPr>
            <w:tcW w:w="2127" w:type="dxa"/>
            <w:tcBorders>
              <w:top w:val="single" w:sz="25" w:space="0" w:color="F5F5F5"/>
              <w:left w:val="nil"/>
              <w:bottom w:val="single" w:sz="25" w:space="0" w:color="E2E2E2"/>
              <w:right w:val="nil"/>
            </w:tcBorders>
            <w:shd w:val="clear" w:color="auto" w:fill="E2E2E2"/>
          </w:tcPr>
          <w:p w:rsidR="000F6D3B" w:rsidRPr="006905CE" w:rsidRDefault="000F6D3B" w:rsidP="005C38DE">
            <w:pPr>
              <w:pStyle w:val="TableParagraph"/>
              <w:spacing w:before="91"/>
              <w:rPr>
                <w:rFonts w:ascii="Arial" w:eastAsia="Arial" w:hAnsi="Arial" w:cs="Arial"/>
                <w:color w:val="000000"/>
                <w:kern w:val="3"/>
                <w:sz w:val="21"/>
                <w:szCs w:val="21"/>
                <w:lang w:val="en-GB" w:eastAsia="en-GB"/>
              </w:rPr>
            </w:pPr>
            <w:r w:rsidRPr="006905CE">
              <w:rPr>
                <w:rFonts w:ascii="Arial" w:eastAsia="Arial" w:hAnsi="Arial" w:cs="Arial"/>
                <w:color w:val="000000"/>
                <w:kern w:val="3"/>
                <w:sz w:val="21"/>
                <w:szCs w:val="21"/>
                <w:lang w:val="en-GB" w:eastAsia="en-GB"/>
              </w:rPr>
              <w:t>Health Care</w:t>
            </w:r>
          </w:p>
        </w:tc>
        <w:tc>
          <w:tcPr>
            <w:tcW w:w="1559" w:type="dxa"/>
            <w:tcBorders>
              <w:top w:val="single" w:sz="25" w:space="0" w:color="F5F5F5"/>
              <w:left w:val="nil"/>
              <w:bottom w:val="single" w:sz="25" w:space="0" w:color="E2E2E2"/>
              <w:right w:val="nil"/>
            </w:tcBorders>
            <w:shd w:val="clear" w:color="auto" w:fill="E2E2E2"/>
          </w:tcPr>
          <w:p w:rsidR="000F6D3B" w:rsidRPr="006905CE" w:rsidRDefault="000F6D3B" w:rsidP="005C38DE">
            <w:pPr>
              <w:pStyle w:val="TableParagraph"/>
              <w:spacing w:before="84"/>
              <w:rPr>
                <w:rFonts w:ascii="Arial" w:eastAsia="Arial" w:hAnsi="Arial" w:cs="Arial"/>
                <w:color w:val="000000"/>
                <w:kern w:val="3"/>
                <w:sz w:val="21"/>
                <w:szCs w:val="21"/>
                <w:lang w:val="en-GB" w:eastAsia="en-GB"/>
              </w:rPr>
            </w:pPr>
            <w:r w:rsidRPr="006905CE">
              <w:rPr>
                <w:rFonts w:ascii="Arial" w:eastAsia="Arial" w:hAnsi="Arial" w:cs="Arial"/>
                <w:color w:val="000000"/>
                <w:kern w:val="3"/>
                <w:sz w:val="21"/>
                <w:szCs w:val="21"/>
                <w:lang w:val="en-GB" w:eastAsia="en-GB"/>
              </w:rPr>
              <w:t>38.10</w:t>
            </w:r>
          </w:p>
        </w:tc>
      </w:tr>
    </w:tbl>
    <w:p w:rsidR="00B60B52" w:rsidRDefault="00B60B52">
      <w:pPr>
        <w:pStyle w:val="Heading2"/>
        <w:spacing w:before="72"/>
        <w:rPr>
          <w:b w:val="0"/>
          <w:bCs w:val="0"/>
        </w:rPr>
      </w:pPr>
    </w:p>
    <w:p w:rsidR="00B60B52" w:rsidRDefault="00B60B52">
      <w:pPr>
        <w:pStyle w:val="Standard"/>
      </w:pPr>
    </w:p>
    <w:p w:rsidR="00B60B52" w:rsidRDefault="00B60B52">
      <w:pPr>
        <w:pStyle w:val="Standard"/>
        <w:rPr>
          <w:sz w:val="20"/>
          <w:szCs w:val="20"/>
        </w:rPr>
      </w:pPr>
    </w:p>
    <w:p w:rsidR="00B60B52" w:rsidRDefault="00B60B52">
      <w:pPr>
        <w:pStyle w:val="Standard"/>
        <w:rPr>
          <w:sz w:val="20"/>
          <w:szCs w:val="20"/>
        </w:rPr>
      </w:pPr>
    </w:p>
    <w:p w:rsidR="006905CE" w:rsidRDefault="006905CE">
      <w:pPr>
        <w:pStyle w:val="Standard"/>
        <w:spacing w:before="72" w:line="276" w:lineRule="auto"/>
        <w:ind w:left="1382" w:right="1207"/>
        <w:jc w:val="both"/>
        <w:rPr>
          <w:rFonts w:ascii="Arial" w:eastAsia="Arial" w:hAnsi="Arial" w:cs="Arial"/>
          <w:b/>
        </w:rPr>
      </w:pPr>
    </w:p>
    <w:p w:rsidR="006905CE" w:rsidRDefault="006905CE">
      <w:pPr>
        <w:pStyle w:val="Standard"/>
        <w:spacing w:before="72" w:line="276" w:lineRule="auto"/>
        <w:ind w:left="1382" w:right="1207"/>
        <w:jc w:val="both"/>
        <w:rPr>
          <w:rFonts w:ascii="Arial" w:eastAsia="Arial" w:hAnsi="Arial" w:cs="Arial"/>
          <w:b/>
        </w:rPr>
      </w:pPr>
    </w:p>
    <w:p w:rsidR="005C38DE" w:rsidRDefault="004271FF" w:rsidP="005C38DE">
      <w:pPr>
        <w:pStyle w:val="Standard"/>
        <w:spacing w:before="72" w:line="276" w:lineRule="auto"/>
        <w:ind w:left="1382" w:right="335"/>
        <w:jc w:val="both"/>
        <w:rPr>
          <w:rFonts w:ascii="Arial" w:eastAsia="Arial" w:hAnsi="Arial" w:cs="Arial"/>
          <w:b/>
        </w:rPr>
      </w:pPr>
      <w:r w:rsidRPr="006905CE">
        <w:rPr>
          <w:rFonts w:ascii="Arial" w:eastAsia="Arial" w:hAnsi="Arial" w:cs="Arial"/>
          <w:b/>
        </w:rPr>
        <w:t xml:space="preserve">If </w:t>
      </w:r>
    </w:p>
    <w:p w:rsidR="005C38DE" w:rsidRDefault="005C38DE" w:rsidP="005C38DE">
      <w:pPr>
        <w:pStyle w:val="Standard"/>
        <w:spacing w:before="72" w:line="276" w:lineRule="auto"/>
        <w:ind w:left="1382" w:right="335"/>
        <w:jc w:val="both"/>
        <w:rPr>
          <w:rFonts w:ascii="Arial" w:eastAsia="Arial" w:hAnsi="Arial" w:cs="Arial"/>
          <w:b/>
        </w:rPr>
      </w:pPr>
    </w:p>
    <w:p w:rsidR="005C38DE" w:rsidRPr="006905CE" w:rsidRDefault="005C38DE" w:rsidP="00DF7E71">
      <w:pPr>
        <w:pStyle w:val="Standard"/>
        <w:spacing w:before="72" w:line="276" w:lineRule="auto"/>
        <w:ind w:left="1382" w:right="335"/>
        <w:jc w:val="both"/>
        <w:rPr>
          <w:rFonts w:ascii="Arial" w:eastAsia="Arial" w:hAnsi="Arial" w:cs="Arial"/>
        </w:rPr>
      </w:pPr>
      <w:r>
        <w:rPr>
          <w:rFonts w:ascii="Arial" w:eastAsia="Arial" w:hAnsi="Arial" w:cs="Arial"/>
          <w:b/>
        </w:rPr>
        <w:t xml:space="preserve">If </w:t>
      </w:r>
      <w:r w:rsidR="004271FF" w:rsidRPr="006905CE">
        <w:rPr>
          <w:rFonts w:ascii="Arial" w:eastAsia="Arial" w:hAnsi="Arial" w:cs="Arial"/>
          <w:b/>
        </w:rPr>
        <w:t>you are seeking income to your scheme through UK equities, the best yielding stocks over the past 12 months in the UK include:</w:t>
      </w:r>
      <w:r w:rsidR="004271FF" w:rsidRPr="006905CE">
        <w:rPr>
          <w:rFonts w:ascii="Arial" w:eastAsia="Arial" w:hAnsi="Arial" w:cs="Arial"/>
        </w:rPr>
        <w:t xml:space="preserve"> Royal Dutch Shell A (7.53%), HSBC Holdings (6.40%), GlaxoSmithKline (6.20%), Scottish &amp; Southern Energy (6.13%), Vodafone Group (5.14)</w:t>
      </w:r>
    </w:p>
    <w:p w:rsidR="00B60B52" w:rsidRDefault="00B60B52" w:rsidP="005C38DE">
      <w:pPr>
        <w:pStyle w:val="Standard"/>
        <w:spacing w:before="72" w:line="276" w:lineRule="auto"/>
        <w:ind w:left="1382" w:right="335"/>
        <w:jc w:val="both"/>
        <w:rPr>
          <w:rFonts w:ascii="Arial" w:eastAsia="Arial" w:hAnsi="Arial" w:cs="Arial"/>
          <w:color w:val="282828"/>
        </w:rPr>
      </w:pPr>
    </w:p>
    <w:p w:rsidR="00B60B52" w:rsidRPr="00DF7E71" w:rsidRDefault="004271FF" w:rsidP="00DF7E71">
      <w:pPr>
        <w:pStyle w:val="Standard"/>
        <w:spacing w:before="72" w:line="276" w:lineRule="auto"/>
        <w:ind w:left="1382" w:right="335"/>
        <w:jc w:val="both"/>
        <w:rPr>
          <w:rFonts w:ascii="Arial" w:eastAsia="Arial" w:hAnsi="Arial" w:cs="Arial"/>
        </w:rPr>
      </w:pPr>
      <w:r w:rsidRPr="005C38DE">
        <w:rPr>
          <w:rFonts w:ascii="Arial" w:eastAsia="Arial" w:hAnsi="Arial" w:cs="Arial"/>
        </w:rPr>
        <w:t xml:space="preserve">Dixon </w:t>
      </w:r>
      <w:proofErr w:type="spellStart"/>
      <w:r w:rsidRPr="005C38DE">
        <w:rPr>
          <w:rFonts w:ascii="Arial" w:eastAsia="Arial" w:hAnsi="Arial" w:cs="Arial"/>
        </w:rPr>
        <w:t>Carphone</w:t>
      </w:r>
      <w:proofErr w:type="spellEnd"/>
      <w:r w:rsidRPr="005C38DE">
        <w:rPr>
          <w:rFonts w:ascii="Arial" w:eastAsia="Arial" w:hAnsi="Arial" w:cs="Arial"/>
        </w:rPr>
        <w:t xml:space="preserve"> saw strong interim profits in 2014, aided by TV sales ahead of the World Cup and a busy lead up to Christmas. The share price was further boosted when rival Phones4U collapsed in September. Shire’s share price received a boost from a $1.6 billion breakup fee after the collapse of the merger with US pharmaceutical </w:t>
      </w:r>
      <w:proofErr w:type="spellStart"/>
      <w:r w:rsidRPr="005C38DE">
        <w:rPr>
          <w:rFonts w:ascii="Arial" w:eastAsia="Arial" w:hAnsi="Arial" w:cs="Arial"/>
        </w:rPr>
        <w:t>AbbVie</w:t>
      </w:r>
      <w:proofErr w:type="spellEnd"/>
      <w:r w:rsidRPr="005C38DE">
        <w:rPr>
          <w:rFonts w:ascii="Arial" w:eastAsia="Arial" w:hAnsi="Arial" w:cs="Arial"/>
        </w:rPr>
        <w:t>, and further strengthened after sales surpassed expectations.</w:t>
      </w:r>
    </w:p>
    <w:p w:rsidR="00B60B52" w:rsidRDefault="00B60B52" w:rsidP="005C38DE">
      <w:pPr>
        <w:pStyle w:val="Standard"/>
        <w:ind w:right="335"/>
      </w:pPr>
    </w:p>
    <w:p w:rsidR="00B60B52" w:rsidRDefault="00B60B52" w:rsidP="005C38DE">
      <w:pPr>
        <w:pStyle w:val="Standard"/>
        <w:ind w:right="335"/>
        <w:rPr>
          <w:sz w:val="20"/>
          <w:szCs w:val="20"/>
        </w:rPr>
      </w:pPr>
    </w:p>
    <w:p w:rsidR="00B60B52" w:rsidRDefault="004271FF" w:rsidP="005C38DE">
      <w:pPr>
        <w:pStyle w:val="Heading2"/>
        <w:spacing w:line="283" w:lineRule="auto"/>
        <w:ind w:right="335"/>
        <w:jc w:val="both"/>
      </w:pPr>
      <w:r>
        <w:t xml:space="preserve">If you are seeking to open an online share dealing account, we have negotiated excellent rates for clients – please email us at </w:t>
      </w:r>
      <w:hyperlink r:id="rId13" w:history="1">
        <w:r>
          <w:rPr>
            <w:u w:val="single"/>
          </w:rPr>
          <w:t>info</w:t>
        </w:r>
      </w:hyperlink>
      <w:hyperlink r:id="rId14" w:history="1">
        <w:r>
          <w:rPr>
            <w:u w:val="single"/>
          </w:rPr>
          <w:t>@</w:t>
        </w:r>
      </w:hyperlink>
      <w:hyperlink r:id="rId15" w:history="1">
        <w:r>
          <w:rPr>
            <w:u w:val="single"/>
          </w:rPr>
          <w:t>pensionpractitioner</w:t>
        </w:r>
      </w:hyperlink>
      <w:hyperlink r:id="rId16" w:history="1">
        <w:r>
          <w:rPr>
            <w:u w:val="single"/>
          </w:rPr>
          <w:t>.</w:t>
        </w:r>
      </w:hyperlink>
      <w:hyperlink r:id="rId17" w:history="1">
        <w:proofErr w:type="gramStart"/>
        <w:r>
          <w:rPr>
            <w:u w:val="single"/>
          </w:rPr>
          <w:t>com</w:t>
        </w:r>
        <w:proofErr w:type="gramEnd"/>
      </w:hyperlink>
      <w:hyperlink r:id="rId18" w:history="1">
        <w:r w:rsidRPr="00E81ADD">
          <w:t xml:space="preserve"> </w:t>
        </w:r>
      </w:hyperlink>
      <w:r>
        <w:t>with the subject header “trading account” and we will organise this with you or in conjunction with your financial advisor.</w:t>
      </w:r>
    </w:p>
    <w:p w:rsidR="00B60B52" w:rsidRDefault="00B60B52">
      <w:pPr>
        <w:pStyle w:val="Standard"/>
        <w:pageBreakBefore/>
        <w:spacing w:before="2"/>
        <w:rPr>
          <w:rFonts w:ascii="Arial" w:eastAsia="Arial" w:hAnsi="Arial" w:cs="Arial"/>
        </w:rPr>
      </w:pPr>
    </w:p>
    <w:p w:rsidR="00B60B52" w:rsidRDefault="004271FF">
      <w:pPr>
        <w:pStyle w:val="Standard"/>
        <w:ind w:left="1382"/>
      </w:pPr>
      <w:r>
        <w:rPr>
          <w:rFonts w:ascii="Arial" w:eastAsia="Arial" w:hAnsi="Arial" w:cs="Arial"/>
          <w:b/>
          <w:bCs/>
        </w:rPr>
        <w:t>Property</w:t>
      </w:r>
    </w:p>
    <w:p w:rsidR="00B60B52" w:rsidRDefault="00B60B52">
      <w:pPr>
        <w:pStyle w:val="Standard"/>
        <w:spacing w:before="9"/>
        <w:rPr>
          <w:sz w:val="14"/>
          <w:szCs w:val="14"/>
        </w:rPr>
      </w:pPr>
    </w:p>
    <w:p w:rsidR="00B60B52" w:rsidRDefault="00B60B52">
      <w:pPr>
        <w:pStyle w:val="Standard"/>
        <w:rPr>
          <w:sz w:val="20"/>
          <w:szCs w:val="20"/>
        </w:rPr>
      </w:pPr>
    </w:p>
    <w:p w:rsidR="00B60B52" w:rsidRPr="005C38DE" w:rsidRDefault="004271FF" w:rsidP="005C38DE">
      <w:pPr>
        <w:pStyle w:val="Standard"/>
        <w:spacing w:line="276" w:lineRule="auto"/>
        <w:ind w:left="1382" w:right="193"/>
        <w:jc w:val="both"/>
        <w:rPr>
          <w:rFonts w:ascii="Arial" w:eastAsia="Arial" w:hAnsi="Arial" w:cs="Arial"/>
        </w:rPr>
      </w:pPr>
      <w:r>
        <w:rPr>
          <w:rFonts w:ascii="Arial" w:eastAsia="Arial" w:hAnsi="Arial" w:cs="Arial"/>
        </w:rPr>
        <w:t>Continuing the trend over the previous two years, the office sector, especially in Central London, saw strong performance. Sustained economic growth and an increase in business confidence is causing an increase in the number of transactions, despite increasing supply issues in the Capital. Decreasing available space in London is having a knock-on effect as firms look to open up more regional premises. This increase in demand and take up is especially noticeable in Leeds, Reading and Newcastle, which all saw major increases in prime rental growth.</w:t>
      </w:r>
    </w:p>
    <w:p w:rsidR="00B60B52" w:rsidRDefault="00B60B52">
      <w:pPr>
        <w:pStyle w:val="Standard"/>
        <w:spacing w:line="283" w:lineRule="auto"/>
        <w:ind w:left="1382" w:right="137"/>
      </w:pPr>
    </w:p>
    <w:p w:rsidR="00B60B52" w:rsidRPr="005C38DE" w:rsidRDefault="004271FF" w:rsidP="005C38DE">
      <w:pPr>
        <w:pStyle w:val="Standard"/>
        <w:spacing w:line="276" w:lineRule="auto"/>
        <w:ind w:left="1382" w:right="193"/>
        <w:jc w:val="both"/>
        <w:rPr>
          <w:rFonts w:ascii="Arial" w:eastAsia="Arial" w:hAnsi="Arial" w:cs="Arial"/>
        </w:rPr>
      </w:pPr>
      <w:r>
        <w:rPr>
          <w:rFonts w:ascii="Arial" w:eastAsia="Arial" w:hAnsi="Arial" w:cs="Arial"/>
        </w:rPr>
        <w:t>The retail sector continued to struggle outside of Central London. Prime retail rental growth was effectively nil outside Central London, and while an increase in consumer and business confidence may lead to higher demand in these areas, high streets that are already struggling and underperforming may well be passed over in favour of out-of-town developments.</w:t>
      </w:r>
    </w:p>
    <w:p w:rsidR="00B60B52" w:rsidRPr="005C38DE" w:rsidRDefault="00B60B52" w:rsidP="005C38DE">
      <w:pPr>
        <w:pStyle w:val="Standard"/>
        <w:spacing w:line="276" w:lineRule="auto"/>
        <w:ind w:left="1382" w:right="193"/>
        <w:jc w:val="both"/>
        <w:rPr>
          <w:rFonts w:ascii="Arial" w:eastAsia="Arial" w:hAnsi="Arial" w:cs="Arial"/>
        </w:rPr>
      </w:pPr>
    </w:p>
    <w:p w:rsidR="00B60B52" w:rsidRDefault="004271FF" w:rsidP="005C38DE">
      <w:pPr>
        <w:pStyle w:val="Standard"/>
        <w:spacing w:line="276" w:lineRule="auto"/>
        <w:ind w:left="1382" w:right="193"/>
        <w:jc w:val="both"/>
        <w:rPr>
          <w:rFonts w:ascii="Arial" w:eastAsia="Arial" w:hAnsi="Arial" w:cs="Arial"/>
        </w:rPr>
      </w:pPr>
      <w:r>
        <w:rPr>
          <w:rFonts w:ascii="Arial" w:eastAsia="Arial" w:hAnsi="Arial" w:cs="Arial"/>
        </w:rPr>
        <w:t>The industrial sector performed well, aided by strong performances by the manufacturing sector, combined with an expansion of the e-commerce sector. Low supply is driving up rents in key locations, and is forcing some occupiers to either compromise on location or having to wait for future developments. The search for availability and investment opportunity will benefit the rest of the UK as occupiers and investors push out further from London and the South East.</w:t>
      </w:r>
    </w:p>
    <w:p w:rsidR="005C38DE" w:rsidRPr="005C38DE" w:rsidRDefault="005C38DE" w:rsidP="005C38DE">
      <w:pPr>
        <w:pStyle w:val="Standard"/>
        <w:spacing w:line="276" w:lineRule="auto"/>
        <w:ind w:left="1382" w:right="193"/>
        <w:jc w:val="both"/>
        <w:rPr>
          <w:rFonts w:ascii="Arial" w:eastAsia="Arial" w:hAnsi="Arial" w:cs="Arial"/>
        </w:rPr>
      </w:pPr>
    </w:p>
    <w:p w:rsidR="00B60B52" w:rsidRDefault="00B60B52">
      <w:pPr>
        <w:pStyle w:val="Standard"/>
        <w:spacing w:before="1"/>
        <w:rPr>
          <w:sz w:val="10"/>
          <w:szCs w:val="10"/>
        </w:rPr>
      </w:pPr>
    </w:p>
    <w:p w:rsidR="00B60B52" w:rsidRDefault="00B60B52">
      <w:pPr>
        <w:pStyle w:val="Standard"/>
        <w:rPr>
          <w:sz w:val="20"/>
          <w:szCs w:val="20"/>
        </w:rPr>
      </w:pPr>
    </w:p>
    <w:p w:rsidR="00B60B52" w:rsidRDefault="005C38DE">
      <w:pPr>
        <w:pStyle w:val="Standard"/>
        <w:spacing w:before="4"/>
        <w:rPr>
          <w:sz w:val="18"/>
          <w:szCs w:val="18"/>
        </w:rPr>
      </w:pPr>
      <w:r w:rsidRPr="005C38DE">
        <w:rPr>
          <w:noProof/>
          <w:sz w:val="18"/>
          <w:szCs w:val="18"/>
        </w:rPr>
        <w:drawing>
          <wp:anchor distT="0" distB="0" distL="114300" distR="114300" simplePos="0" relativeHeight="251660288" behindDoc="0" locked="0" layoutInCell="1" allowOverlap="1">
            <wp:simplePos x="0" y="0"/>
            <wp:positionH relativeFrom="column">
              <wp:posOffset>895350</wp:posOffset>
            </wp:positionH>
            <wp:positionV relativeFrom="paragraph">
              <wp:posOffset>0</wp:posOffset>
            </wp:positionV>
            <wp:extent cx="4752975" cy="2981325"/>
            <wp:effectExtent l="19050" t="0" r="9525" b="0"/>
            <wp:wrapNone/>
            <wp:docPr id="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752975" cy="2981325"/>
                    </a:xfrm>
                    <a:prstGeom prst="rect">
                      <a:avLst/>
                    </a:prstGeom>
                    <a:noFill/>
                    <a:ln>
                      <a:noFill/>
                    </a:ln>
                  </pic:spPr>
                </pic:pic>
              </a:graphicData>
            </a:graphic>
          </wp:anchor>
        </w:drawing>
      </w:r>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ind w:left="1382" w:right="126"/>
        <w:rPr>
          <w:noProof/>
        </w:rPr>
      </w:pPr>
    </w:p>
    <w:p w:rsidR="005C38DE" w:rsidRDefault="005C38DE">
      <w:pPr>
        <w:pStyle w:val="Standard"/>
        <w:ind w:left="1382" w:right="126"/>
        <w:rPr>
          <w:noProof/>
        </w:rPr>
      </w:pPr>
    </w:p>
    <w:p w:rsidR="005C38DE" w:rsidRDefault="005C38DE">
      <w:pPr>
        <w:pStyle w:val="Standard"/>
        <w:ind w:left="1382" w:right="126"/>
        <w:rPr>
          <w:noProof/>
        </w:rPr>
      </w:pPr>
    </w:p>
    <w:p w:rsidR="005C38DE" w:rsidRDefault="005C38DE">
      <w:pPr>
        <w:pStyle w:val="Standard"/>
        <w:ind w:left="1382" w:right="126"/>
        <w:rPr>
          <w:noProof/>
        </w:rPr>
      </w:pPr>
    </w:p>
    <w:p w:rsidR="005C38DE" w:rsidRDefault="005C38DE">
      <w:pPr>
        <w:pStyle w:val="Standard"/>
        <w:ind w:left="1382" w:right="126"/>
        <w:rPr>
          <w:noProof/>
        </w:rPr>
      </w:pPr>
    </w:p>
    <w:p w:rsidR="005C38DE" w:rsidRDefault="005C38DE">
      <w:pPr>
        <w:pStyle w:val="Standard"/>
        <w:ind w:left="1382" w:right="126"/>
        <w:rPr>
          <w:noProof/>
        </w:rPr>
      </w:pPr>
    </w:p>
    <w:p w:rsidR="005C38DE" w:rsidRDefault="005C38DE">
      <w:pPr>
        <w:pStyle w:val="Standard"/>
        <w:ind w:left="1382" w:right="126"/>
        <w:rPr>
          <w:noProof/>
        </w:rPr>
      </w:pPr>
    </w:p>
    <w:p w:rsidR="005C38DE" w:rsidRDefault="005C38DE">
      <w:pPr>
        <w:pStyle w:val="Standard"/>
        <w:ind w:left="1382" w:right="126"/>
        <w:rPr>
          <w:noProof/>
        </w:rPr>
      </w:pPr>
    </w:p>
    <w:p w:rsidR="005C38DE" w:rsidRDefault="005C38DE">
      <w:pPr>
        <w:pStyle w:val="Standard"/>
        <w:ind w:left="1382" w:right="126"/>
        <w:rPr>
          <w:noProof/>
        </w:rPr>
      </w:pPr>
    </w:p>
    <w:p w:rsidR="005C38DE" w:rsidRDefault="005C38DE">
      <w:pPr>
        <w:pStyle w:val="Standard"/>
        <w:ind w:left="1382" w:right="126"/>
        <w:rPr>
          <w:noProof/>
        </w:rPr>
      </w:pPr>
    </w:p>
    <w:p w:rsidR="005C38DE" w:rsidRDefault="005C38DE">
      <w:pPr>
        <w:pStyle w:val="Standard"/>
        <w:ind w:left="1382" w:right="126"/>
        <w:rPr>
          <w:noProof/>
        </w:rPr>
      </w:pPr>
    </w:p>
    <w:p w:rsidR="005C38DE" w:rsidRDefault="005C38DE">
      <w:pPr>
        <w:pStyle w:val="Standard"/>
        <w:ind w:left="1382" w:right="126"/>
        <w:rPr>
          <w:noProof/>
        </w:rPr>
      </w:pPr>
    </w:p>
    <w:p w:rsidR="005C38DE" w:rsidRDefault="005C38DE">
      <w:pPr>
        <w:pStyle w:val="Standard"/>
        <w:ind w:left="1382" w:right="126"/>
        <w:rPr>
          <w:noProof/>
        </w:rPr>
      </w:pPr>
    </w:p>
    <w:p w:rsidR="005C38DE" w:rsidRDefault="005C38DE">
      <w:pPr>
        <w:pStyle w:val="Standard"/>
        <w:ind w:left="1382" w:right="126"/>
      </w:pPr>
    </w:p>
    <w:p w:rsidR="00B97A29" w:rsidRDefault="00B97A29">
      <w:pPr>
        <w:pStyle w:val="Standard"/>
        <w:ind w:left="1382" w:right="126"/>
      </w:pPr>
    </w:p>
    <w:p w:rsidR="00B97A29" w:rsidRDefault="00B97A29">
      <w:pPr>
        <w:pStyle w:val="Standard"/>
        <w:ind w:left="1382" w:right="126"/>
      </w:pPr>
    </w:p>
    <w:p w:rsidR="00B60B52" w:rsidRDefault="00B60B52">
      <w:pPr>
        <w:pStyle w:val="Standard"/>
        <w:spacing w:line="276" w:lineRule="auto"/>
        <w:rPr>
          <w:rFonts w:ascii="Arial" w:eastAsia="Arial" w:hAnsi="Arial" w:cs="Arial"/>
          <w:sz w:val="16"/>
          <w:szCs w:val="16"/>
        </w:rPr>
      </w:pPr>
    </w:p>
    <w:p w:rsidR="00B60B52" w:rsidRDefault="00B60B52">
      <w:pPr>
        <w:pStyle w:val="Standard"/>
        <w:spacing w:before="7"/>
        <w:rPr>
          <w:sz w:val="12"/>
          <w:szCs w:val="12"/>
        </w:rPr>
      </w:pPr>
    </w:p>
    <w:p w:rsidR="00B60B52" w:rsidRDefault="005C38DE" w:rsidP="005C38DE">
      <w:pPr>
        <w:pStyle w:val="Standard"/>
        <w:numPr>
          <w:ilvl w:val="0"/>
          <w:numId w:val="13"/>
        </w:numPr>
        <w:ind w:left="360" w:right="1469"/>
        <w:jc w:val="both"/>
      </w:pPr>
      <w:r>
        <w:rPr>
          <w:rFonts w:ascii="Arial" w:eastAsia="Arial" w:hAnsi="Arial" w:cs="Arial"/>
          <w:b/>
          <w:bCs/>
          <w:color w:val="1FAFD6"/>
          <w:sz w:val="48"/>
          <w:szCs w:val="48"/>
        </w:rPr>
        <w:lastRenderedPageBreak/>
        <w:t>Latest pension news</w:t>
      </w:r>
    </w:p>
    <w:p w:rsidR="00B60B52" w:rsidRDefault="00B60B52">
      <w:pPr>
        <w:pStyle w:val="Standard"/>
        <w:spacing w:before="8"/>
        <w:rPr>
          <w:sz w:val="18"/>
          <w:szCs w:val="18"/>
        </w:rPr>
      </w:pPr>
    </w:p>
    <w:p w:rsidR="00B60B52" w:rsidRDefault="00B60B52">
      <w:pPr>
        <w:pStyle w:val="Standard"/>
        <w:rPr>
          <w:sz w:val="20"/>
          <w:szCs w:val="20"/>
        </w:rPr>
      </w:pPr>
    </w:p>
    <w:p w:rsidR="00B60B52" w:rsidRDefault="004271FF">
      <w:pPr>
        <w:pStyle w:val="Heading2"/>
        <w:ind w:right="5830"/>
        <w:jc w:val="both"/>
      </w:pPr>
      <w:r>
        <w:t>Pension liberation</w:t>
      </w:r>
    </w:p>
    <w:p w:rsidR="00B60B52" w:rsidRDefault="00B60B52">
      <w:pPr>
        <w:pStyle w:val="Standard"/>
        <w:spacing w:before="13"/>
        <w:rPr>
          <w:sz w:val="20"/>
          <w:szCs w:val="20"/>
        </w:rPr>
      </w:pPr>
    </w:p>
    <w:p w:rsidR="00B60B52" w:rsidRPr="003F05E0" w:rsidRDefault="004271FF" w:rsidP="003F05E0">
      <w:pPr>
        <w:pStyle w:val="Standard"/>
        <w:spacing w:line="276" w:lineRule="auto"/>
        <w:ind w:left="1382" w:right="193"/>
        <w:jc w:val="both"/>
        <w:rPr>
          <w:rFonts w:ascii="Arial" w:eastAsia="Arial" w:hAnsi="Arial" w:cs="Arial"/>
        </w:rPr>
      </w:pPr>
      <w:r>
        <w:rPr>
          <w:rFonts w:ascii="Arial" w:eastAsia="Arial" w:hAnsi="Arial" w:cs="Arial"/>
        </w:rPr>
        <w:t>As you may be aware, as part of HMRC’s continuing strategy to combat pension liberation, HMRC made a number of changes to try to strengthen existing processes to deter pension liberation and safeguard pension savings. These changes related to new applications to register pension schemes and for dealing with requests for information about the tax status of a receiving scheme for a proposed transfer.</w:t>
      </w:r>
    </w:p>
    <w:p w:rsidR="00B60B52" w:rsidRPr="003F05E0" w:rsidRDefault="00B60B52" w:rsidP="003F05E0">
      <w:pPr>
        <w:pStyle w:val="Standard"/>
        <w:spacing w:line="276" w:lineRule="auto"/>
        <w:ind w:left="1382" w:right="193"/>
        <w:jc w:val="both"/>
        <w:rPr>
          <w:rFonts w:ascii="Arial" w:eastAsia="Arial" w:hAnsi="Arial" w:cs="Arial"/>
        </w:rPr>
      </w:pPr>
    </w:p>
    <w:p w:rsidR="00B97A29" w:rsidRDefault="004271FF" w:rsidP="00B84DDD">
      <w:pPr>
        <w:pStyle w:val="Standard"/>
        <w:spacing w:line="276" w:lineRule="auto"/>
        <w:ind w:left="1382" w:right="193"/>
        <w:jc w:val="both"/>
        <w:rPr>
          <w:rFonts w:ascii="Arial" w:eastAsia="Arial" w:hAnsi="Arial" w:cs="Arial"/>
        </w:rPr>
      </w:pPr>
      <w:r>
        <w:rPr>
          <w:rFonts w:ascii="Arial" w:eastAsia="Arial" w:hAnsi="Arial" w:cs="Arial"/>
        </w:rPr>
        <w:t>Pensions liberation fraud is now widespread and as a reputable SSAS provider, it is our duty to protect our clients from fraudulent companies; we always recommend that you obtain professional advice on investments made, in the case of property you should always obtain a valuation from a RICS member and in respect of investments, advice that is protected by the FSCS.</w:t>
      </w:r>
    </w:p>
    <w:p w:rsidR="00B97A29" w:rsidRDefault="00B97A29" w:rsidP="00B84DDD">
      <w:pPr>
        <w:pStyle w:val="Standard"/>
        <w:spacing w:line="276" w:lineRule="auto"/>
        <w:ind w:left="1382" w:right="193"/>
        <w:jc w:val="both"/>
        <w:rPr>
          <w:rFonts w:ascii="Arial" w:eastAsia="Arial" w:hAnsi="Arial" w:cs="Arial"/>
        </w:rPr>
      </w:pPr>
    </w:p>
    <w:p w:rsidR="00B60B52" w:rsidRPr="003F05E0" w:rsidRDefault="004271FF" w:rsidP="00B84DDD">
      <w:pPr>
        <w:pStyle w:val="Standard"/>
        <w:spacing w:line="276" w:lineRule="auto"/>
        <w:ind w:left="1382" w:right="193"/>
        <w:jc w:val="both"/>
        <w:rPr>
          <w:rFonts w:ascii="Arial" w:eastAsia="Arial" w:hAnsi="Arial" w:cs="Arial"/>
        </w:rPr>
      </w:pPr>
      <w:r>
        <w:rPr>
          <w:rFonts w:ascii="Arial" w:eastAsia="Arial" w:hAnsi="Arial" w:cs="Arial"/>
        </w:rPr>
        <w:t>If you have therefore been offered a financial incentive for an investment, we strongly recommend that you notify us in order that we can ensure that the operator is blocked from further business.</w:t>
      </w:r>
    </w:p>
    <w:p w:rsidR="00B60B52" w:rsidRDefault="00B60B52" w:rsidP="003F05E0">
      <w:pPr>
        <w:pStyle w:val="Standard"/>
        <w:spacing w:before="15"/>
        <w:ind w:right="193"/>
        <w:rPr>
          <w:sz w:val="24"/>
          <w:szCs w:val="24"/>
        </w:rPr>
      </w:pPr>
    </w:p>
    <w:p w:rsidR="00B60B52" w:rsidRDefault="004271FF" w:rsidP="003F05E0">
      <w:pPr>
        <w:pStyle w:val="Heading2"/>
        <w:ind w:right="193"/>
        <w:jc w:val="both"/>
      </w:pPr>
      <w:r>
        <w:t>Pension Flexibility 2015</w:t>
      </w:r>
    </w:p>
    <w:p w:rsidR="00B60B52" w:rsidRDefault="00B60B52" w:rsidP="003F05E0">
      <w:pPr>
        <w:pStyle w:val="Standard"/>
        <w:spacing w:before="13"/>
        <w:ind w:right="193"/>
        <w:rPr>
          <w:sz w:val="20"/>
          <w:szCs w:val="20"/>
        </w:rPr>
      </w:pPr>
    </w:p>
    <w:p w:rsidR="00B60B52" w:rsidRPr="003F05E0" w:rsidRDefault="004271FF" w:rsidP="003F05E0">
      <w:pPr>
        <w:pStyle w:val="Standard"/>
        <w:spacing w:line="276" w:lineRule="auto"/>
        <w:ind w:left="1382" w:right="193"/>
        <w:jc w:val="both"/>
        <w:rPr>
          <w:rFonts w:ascii="Arial" w:eastAsia="Arial" w:hAnsi="Arial" w:cs="Arial"/>
        </w:rPr>
      </w:pPr>
      <w:r>
        <w:rPr>
          <w:rFonts w:ascii="Arial" w:eastAsia="Arial" w:hAnsi="Arial" w:cs="Arial"/>
        </w:rPr>
        <w:t>As from April 2015, the long-awaited pension freedoms came into effect, which included the following measures to increase flexibility in relation to pension savings:</w:t>
      </w:r>
    </w:p>
    <w:p w:rsidR="00B60B52" w:rsidRDefault="00B60B52" w:rsidP="003F05E0">
      <w:pPr>
        <w:pStyle w:val="Standard"/>
        <w:ind w:left="1382" w:right="193"/>
        <w:jc w:val="both"/>
      </w:pPr>
    </w:p>
    <w:p w:rsidR="00B60B52" w:rsidRPr="003F05E0" w:rsidRDefault="004271FF" w:rsidP="003F05E0">
      <w:pPr>
        <w:pStyle w:val="Standard"/>
        <w:numPr>
          <w:ilvl w:val="2"/>
          <w:numId w:val="2"/>
        </w:numPr>
        <w:spacing w:line="273" w:lineRule="auto"/>
        <w:ind w:right="193"/>
        <w:jc w:val="both"/>
        <w:rPr>
          <w:rFonts w:ascii="Arial" w:eastAsia="Arial" w:hAnsi="Arial" w:cs="Arial"/>
        </w:rPr>
      </w:pPr>
      <w:r>
        <w:rPr>
          <w:rFonts w:ascii="Arial" w:eastAsia="Arial" w:hAnsi="Arial" w:cs="Arial"/>
        </w:rPr>
        <w:t xml:space="preserve">Allow you to take the whole of your pension in a SSAS to be taken as a taxed lump sum </w:t>
      </w:r>
    </w:p>
    <w:p w:rsidR="00B60B52" w:rsidRDefault="00B60B52" w:rsidP="003F05E0">
      <w:pPr>
        <w:pStyle w:val="Standard"/>
        <w:ind w:left="1742" w:right="193"/>
        <w:jc w:val="both"/>
      </w:pPr>
    </w:p>
    <w:p w:rsidR="00B60B52" w:rsidRPr="003F05E0" w:rsidRDefault="004271FF" w:rsidP="003F05E0">
      <w:pPr>
        <w:pStyle w:val="Standard"/>
        <w:numPr>
          <w:ilvl w:val="2"/>
          <w:numId w:val="2"/>
        </w:numPr>
        <w:spacing w:line="273" w:lineRule="auto"/>
        <w:ind w:right="193"/>
        <w:jc w:val="both"/>
        <w:rPr>
          <w:rFonts w:ascii="Arial" w:eastAsia="Arial" w:hAnsi="Arial" w:cs="Arial"/>
        </w:rPr>
      </w:pPr>
      <w:r>
        <w:rPr>
          <w:rFonts w:ascii="Arial" w:eastAsia="Arial" w:hAnsi="Arial" w:cs="Arial"/>
        </w:rPr>
        <w:t>Increased the flexibility of the income drawdown rules by removing the maximum ‘cap’ on withdrawals and minimum income requirements for all new drawdown funds from 6</w:t>
      </w:r>
      <w:r w:rsidRPr="003F05E0">
        <w:rPr>
          <w:rFonts w:ascii="Arial" w:eastAsia="Arial" w:hAnsi="Arial" w:cs="Arial"/>
        </w:rPr>
        <w:t>th</w:t>
      </w:r>
      <w:r>
        <w:rPr>
          <w:rFonts w:ascii="Arial" w:eastAsia="Arial" w:hAnsi="Arial" w:cs="Arial"/>
        </w:rPr>
        <w:t xml:space="preserve"> April 2015</w:t>
      </w:r>
    </w:p>
    <w:p w:rsidR="00B60B52" w:rsidRPr="003F05E0" w:rsidRDefault="00B60B52" w:rsidP="003F05E0">
      <w:pPr>
        <w:pStyle w:val="Standard"/>
        <w:spacing w:line="273" w:lineRule="auto"/>
        <w:ind w:left="1980" w:right="193"/>
        <w:jc w:val="both"/>
        <w:rPr>
          <w:rFonts w:ascii="Arial" w:eastAsia="Arial" w:hAnsi="Arial" w:cs="Arial"/>
        </w:rPr>
      </w:pPr>
    </w:p>
    <w:p w:rsidR="00B60B52" w:rsidRPr="003F05E0" w:rsidRDefault="004271FF" w:rsidP="003F05E0">
      <w:pPr>
        <w:pStyle w:val="Standard"/>
        <w:numPr>
          <w:ilvl w:val="2"/>
          <w:numId w:val="2"/>
        </w:numPr>
        <w:spacing w:line="273" w:lineRule="auto"/>
        <w:ind w:right="193"/>
        <w:jc w:val="both"/>
        <w:rPr>
          <w:rFonts w:ascii="Arial" w:eastAsia="Arial" w:hAnsi="Arial" w:cs="Arial"/>
        </w:rPr>
      </w:pPr>
      <w:r>
        <w:rPr>
          <w:rFonts w:ascii="Arial" w:eastAsia="Arial" w:hAnsi="Arial" w:cs="Arial"/>
        </w:rPr>
        <w:t>Enabled those with ‘capped’ drawdown to convert to a new drawdown fund once arranged with their scheme</w:t>
      </w:r>
    </w:p>
    <w:p w:rsidR="00B60B52" w:rsidRPr="003F05E0" w:rsidRDefault="00B60B52" w:rsidP="003F05E0">
      <w:pPr>
        <w:pStyle w:val="Standard"/>
        <w:spacing w:line="273" w:lineRule="auto"/>
        <w:ind w:left="1980" w:right="193"/>
        <w:jc w:val="both"/>
        <w:rPr>
          <w:rFonts w:ascii="Arial" w:eastAsia="Arial" w:hAnsi="Arial" w:cs="Arial"/>
        </w:rPr>
      </w:pPr>
    </w:p>
    <w:p w:rsidR="00B60B52" w:rsidRPr="003F05E0" w:rsidRDefault="004271FF" w:rsidP="003F05E0">
      <w:pPr>
        <w:pStyle w:val="Standard"/>
        <w:numPr>
          <w:ilvl w:val="2"/>
          <w:numId w:val="2"/>
        </w:numPr>
        <w:spacing w:line="273" w:lineRule="auto"/>
        <w:ind w:right="193"/>
        <w:jc w:val="both"/>
        <w:rPr>
          <w:rFonts w:ascii="Arial" w:eastAsia="Arial" w:hAnsi="Arial" w:cs="Arial"/>
        </w:rPr>
      </w:pPr>
      <w:r>
        <w:rPr>
          <w:rFonts w:ascii="Arial" w:eastAsia="Arial" w:hAnsi="Arial" w:cs="Arial"/>
        </w:rPr>
        <w:t>Enabled pension schemes to make payments directly from pension savings with 25 per cent taken tax-free (instead of taking a tax-free lump sum)</w:t>
      </w:r>
    </w:p>
    <w:p w:rsidR="00B60B52" w:rsidRPr="003F05E0" w:rsidRDefault="00B60B52" w:rsidP="003F05E0">
      <w:pPr>
        <w:pStyle w:val="Standard"/>
        <w:spacing w:line="276" w:lineRule="auto"/>
        <w:ind w:left="1382" w:right="193"/>
        <w:jc w:val="both"/>
        <w:rPr>
          <w:rFonts w:ascii="Arial" w:eastAsia="Arial" w:hAnsi="Arial" w:cs="Arial"/>
        </w:rPr>
      </w:pPr>
    </w:p>
    <w:p w:rsidR="00B60B52" w:rsidRPr="00B97A29" w:rsidRDefault="004271FF" w:rsidP="00B97A29">
      <w:pPr>
        <w:pStyle w:val="Standard"/>
        <w:spacing w:line="276" w:lineRule="auto"/>
        <w:ind w:left="1382" w:right="193"/>
        <w:jc w:val="both"/>
      </w:pPr>
      <w:r>
        <w:rPr>
          <w:rFonts w:ascii="Arial" w:eastAsia="Arial" w:hAnsi="Arial" w:cs="Arial"/>
        </w:rPr>
        <w:t>While the new freedoms will be welcomed by most, attention will need to be paid to the tax implications, especially if total income including pension withdrawals moves you up into the higher rate tax band. In addition, the personal allowance and lifetime allowance is again set to change - we will be reviewing your pension scheme and will guide you how you may be affected.</w:t>
      </w:r>
    </w:p>
    <w:p w:rsidR="00B60B52" w:rsidRPr="003F05E0" w:rsidRDefault="004271FF" w:rsidP="00B93171">
      <w:pPr>
        <w:pStyle w:val="Standard"/>
        <w:numPr>
          <w:ilvl w:val="0"/>
          <w:numId w:val="13"/>
        </w:numPr>
        <w:ind w:right="-374"/>
        <w:jc w:val="both"/>
        <w:rPr>
          <w:rFonts w:ascii="Arial" w:eastAsia="Arial" w:hAnsi="Arial" w:cs="Arial"/>
          <w:b/>
          <w:bCs/>
          <w:color w:val="1FAFD6"/>
          <w:sz w:val="48"/>
          <w:szCs w:val="48"/>
        </w:rPr>
      </w:pPr>
      <w:bookmarkStart w:id="2" w:name="h.pto5or2m0alz"/>
      <w:bookmarkEnd w:id="2"/>
      <w:r w:rsidRPr="003F05E0">
        <w:rPr>
          <w:rFonts w:ascii="Arial" w:eastAsia="Arial" w:hAnsi="Arial" w:cs="Arial"/>
          <w:b/>
          <w:bCs/>
          <w:color w:val="1FAFD6"/>
          <w:sz w:val="48"/>
          <w:szCs w:val="48"/>
        </w:rPr>
        <w:lastRenderedPageBreak/>
        <w:t>The beneficiaries of your pension</w:t>
      </w:r>
    </w:p>
    <w:p w:rsidR="00B60B52" w:rsidRPr="003F05E0" w:rsidRDefault="00B60B52" w:rsidP="003F05E0">
      <w:pPr>
        <w:pStyle w:val="Standard"/>
        <w:spacing w:line="276" w:lineRule="auto"/>
        <w:ind w:left="1382" w:right="193"/>
        <w:jc w:val="both"/>
        <w:rPr>
          <w:rFonts w:ascii="Arial" w:eastAsia="Arial" w:hAnsi="Arial" w:cs="Arial"/>
        </w:rPr>
      </w:pPr>
    </w:p>
    <w:p w:rsidR="00B93171" w:rsidRDefault="00B93171" w:rsidP="003F05E0">
      <w:pPr>
        <w:pStyle w:val="Standard"/>
        <w:spacing w:line="276" w:lineRule="auto"/>
        <w:ind w:left="1382" w:right="193"/>
        <w:jc w:val="both"/>
        <w:rPr>
          <w:rFonts w:ascii="Arial" w:eastAsia="Arial" w:hAnsi="Arial" w:cs="Arial"/>
        </w:rPr>
      </w:pPr>
    </w:p>
    <w:p w:rsidR="00B60B52" w:rsidRPr="003F05E0" w:rsidRDefault="004271FF" w:rsidP="003F05E0">
      <w:pPr>
        <w:pStyle w:val="Standard"/>
        <w:spacing w:line="276" w:lineRule="auto"/>
        <w:ind w:left="1382" w:right="193"/>
        <w:jc w:val="both"/>
        <w:rPr>
          <w:rFonts w:ascii="Arial" w:eastAsia="Arial" w:hAnsi="Arial" w:cs="Arial"/>
        </w:rPr>
      </w:pPr>
      <w:r w:rsidRPr="003F05E0">
        <w:rPr>
          <w:rFonts w:ascii="Arial" w:eastAsia="Arial" w:hAnsi="Arial" w:cs="Arial"/>
        </w:rPr>
        <w:t>Pensions are emerging as an important IHT planning tool, thanks to the introduction of new death benefit rules on April 6. These allow the full value of your pension to be passed to a beneficiary tax-free, provided dea</w:t>
      </w:r>
      <w:r w:rsidR="003F05E0">
        <w:rPr>
          <w:rFonts w:ascii="Arial" w:eastAsia="Arial" w:hAnsi="Arial" w:cs="Arial"/>
        </w:rPr>
        <w:t>th occurs before the age of 75.</w:t>
      </w:r>
      <w:r w:rsidRPr="003F05E0">
        <w:rPr>
          <w:rFonts w:ascii="Arial" w:eastAsia="Arial" w:hAnsi="Arial" w:cs="Arial"/>
        </w:rPr>
        <w:t xml:space="preserve"> If death occurs after 75, the pension can still be bequeathed tax-free but the beneficiary will pay tax on income taken at their marginal rate. If the whole pension is taken as a lump sum, tax of up to 45% could be applied. When the beneficiary dies, the money can again be passed on under the same tax treatment.</w:t>
      </w:r>
    </w:p>
    <w:p w:rsidR="00B60B52" w:rsidRPr="003F05E0" w:rsidRDefault="004271FF" w:rsidP="003F05E0">
      <w:pPr>
        <w:pStyle w:val="Standard"/>
        <w:spacing w:line="276" w:lineRule="auto"/>
        <w:ind w:left="1382" w:right="193"/>
        <w:jc w:val="both"/>
        <w:rPr>
          <w:rFonts w:ascii="Arial" w:eastAsia="Arial" w:hAnsi="Arial" w:cs="Arial"/>
        </w:rPr>
      </w:pPr>
      <w:r w:rsidRPr="003F05E0">
        <w:rPr>
          <w:rFonts w:ascii="Arial" w:eastAsia="Arial" w:hAnsi="Arial" w:cs="Arial"/>
        </w:rPr>
        <w:t xml:space="preserve"> </w:t>
      </w:r>
    </w:p>
    <w:p w:rsidR="00B60B52" w:rsidRPr="003F05E0" w:rsidRDefault="004271FF" w:rsidP="003F05E0">
      <w:pPr>
        <w:pStyle w:val="Standard"/>
        <w:spacing w:line="276" w:lineRule="auto"/>
        <w:ind w:left="1382" w:right="193"/>
        <w:jc w:val="both"/>
        <w:rPr>
          <w:rFonts w:ascii="Arial" w:eastAsia="Arial" w:hAnsi="Arial" w:cs="Arial"/>
        </w:rPr>
      </w:pPr>
      <w:r w:rsidRPr="003F05E0">
        <w:rPr>
          <w:rFonts w:ascii="Arial" w:eastAsia="Arial" w:hAnsi="Arial" w:cs="Arial"/>
        </w:rPr>
        <w:t>The debate on which assets to spend in your life has shifted, now it’s perfectly valid to use other assets before your pension because of the abolition of the death tax on pensions.</w:t>
      </w:r>
    </w:p>
    <w:p w:rsidR="00B60B52" w:rsidRPr="003F05E0" w:rsidRDefault="004271FF" w:rsidP="003F05E0">
      <w:pPr>
        <w:pStyle w:val="Standard"/>
        <w:spacing w:line="276" w:lineRule="auto"/>
        <w:ind w:left="1382" w:right="193"/>
        <w:jc w:val="both"/>
        <w:rPr>
          <w:rFonts w:ascii="Arial" w:eastAsia="Arial" w:hAnsi="Arial" w:cs="Arial"/>
        </w:rPr>
      </w:pPr>
      <w:r w:rsidRPr="003F05E0">
        <w:rPr>
          <w:rFonts w:ascii="Arial" w:eastAsia="Arial" w:hAnsi="Arial" w:cs="Arial"/>
        </w:rPr>
        <w:t xml:space="preserve"> </w:t>
      </w:r>
    </w:p>
    <w:p w:rsidR="00B60B52" w:rsidRPr="003F05E0" w:rsidRDefault="004271FF" w:rsidP="003F05E0">
      <w:pPr>
        <w:pStyle w:val="Standard"/>
        <w:spacing w:line="276" w:lineRule="auto"/>
        <w:ind w:left="1382" w:right="193"/>
        <w:jc w:val="both"/>
        <w:rPr>
          <w:rFonts w:ascii="Arial" w:eastAsia="Arial" w:hAnsi="Arial" w:cs="Arial"/>
        </w:rPr>
      </w:pPr>
      <w:r w:rsidRPr="003F05E0">
        <w:rPr>
          <w:rFonts w:ascii="Arial" w:eastAsia="Arial" w:hAnsi="Arial" w:cs="Arial"/>
        </w:rPr>
        <w:t>Using a pension to bequeath assets can be a better way to avoid IHT than gifting. The rules covering gifts say that you can give away £3,000 annually, and distribute regular sums of proven “surplus” income. You can also give away other cash or assets but to avoid an IHT charge you must live for at least seven years afterwards. This is known as a “potentially exempt transfer” (PET).</w:t>
      </w:r>
    </w:p>
    <w:p w:rsidR="00B60B52" w:rsidRPr="003F05E0" w:rsidRDefault="00B60B52" w:rsidP="003F05E0">
      <w:pPr>
        <w:pStyle w:val="Standard"/>
        <w:spacing w:line="276" w:lineRule="auto"/>
        <w:ind w:left="1382" w:right="193"/>
        <w:jc w:val="both"/>
        <w:rPr>
          <w:rFonts w:ascii="Arial" w:eastAsia="Arial" w:hAnsi="Arial" w:cs="Arial"/>
        </w:rPr>
      </w:pPr>
    </w:p>
    <w:p w:rsidR="00B60B52" w:rsidRPr="003F05E0" w:rsidRDefault="004271FF" w:rsidP="003F05E0">
      <w:pPr>
        <w:pStyle w:val="Standard"/>
        <w:spacing w:line="276" w:lineRule="auto"/>
        <w:ind w:left="1382" w:right="193"/>
        <w:jc w:val="both"/>
        <w:rPr>
          <w:rFonts w:ascii="Arial" w:eastAsia="Arial" w:hAnsi="Arial" w:cs="Arial"/>
        </w:rPr>
      </w:pPr>
      <w:r w:rsidRPr="003F05E0">
        <w:rPr>
          <w:rFonts w:ascii="Arial" w:eastAsia="Arial" w:hAnsi="Arial" w:cs="Arial"/>
        </w:rPr>
        <w:t xml:space="preserve">Any lump sum payable from your pension can be assessed and vulnerable to any of the following if thought is not given to the options available at the time. </w:t>
      </w:r>
    </w:p>
    <w:p w:rsidR="00B60B52" w:rsidRDefault="00B60B52">
      <w:pPr>
        <w:pStyle w:val="Standard"/>
        <w:tabs>
          <w:tab w:val="left" w:pos="1918"/>
        </w:tabs>
        <w:rPr>
          <w:rFonts w:ascii="Arial" w:eastAsia="Arial" w:hAnsi="Arial" w:cs="Arial"/>
          <w:color w:val="222222"/>
          <w:sz w:val="18"/>
          <w:szCs w:val="18"/>
          <w:shd w:val="clear" w:color="auto" w:fill="FFFFFF"/>
        </w:rPr>
      </w:pPr>
    </w:p>
    <w:p w:rsidR="00B60B52" w:rsidRPr="003F05E0" w:rsidRDefault="004271FF" w:rsidP="003F05E0">
      <w:pPr>
        <w:pStyle w:val="Standard"/>
        <w:numPr>
          <w:ilvl w:val="2"/>
          <w:numId w:val="2"/>
        </w:numPr>
        <w:spacing w:line="273" w:lineRule="auto"/>
        <w:ind w:right="193"/>
        <w:jc w:val="both"/>
        <w:rPr>
          <w:rFonts w:ascii="Arial" w:eastAsia="Arial" w:hAnsi="Arial" w:cs="Arial"/>
        </w:rPr>
      </w:pPr>
      <w:r w:rsidRPr="003F05E0">
        <w:rPr>
          <w:rFonts w:ascii="Arial" w:eastAsia="Arial" w:hAnsi="Arial" w:cs="Arial"/>
        </w:rPr>
        <w:t>Creditors or bankruptcy. If the surviving spouse/partner or a nominated beneficiary under the new rules is subject to creditor claims.</w:t>
      </w:r>
      <w:r w:rsidRPr="003F05E0">
        <w:rPr>
          <w:rFonts w:ascii="Arial" w:eastAsia="Arial" w:hAnsi="Arial" w:cs="Arial"/>
        </w:rPr>
        <w:br/>
      </w:r>
    </w:p>
    <w:p w:rsidR="003F05E0" w:rsidRDefault="004271FF" w:rsidP="003F05E0">
      <w:pPr>
        <w:pStyle w:val="Standard"/>
        <w:numPr>
          <w:ilvl w:val="2"/>
          <w:numId w:val="2"/>
        </w:numPr>
        <w:spacing w:line="273" w:lineRule="auto"/>
        <w:ind w:right="193"/>
        <w:jc w:val="both"/>
        <w:rPr>
          <w:rFonts w:ascii="Arial" w:eastAsia="Arial" w:hAnsi="Arial" w:cs="Arial"/>
        </w:rPr>
      </w:pPr>
      <w:r w:rsidRPr="003F05E0">
        <w:rPr>
          <w:rFonts w:ascii="Arial" w:eastAsia="Arial" w:hAnsi="Arial" w:cs="Arial"/>
        </w:rPr>
        <w:t xml:space="preserve">Bankruptcy or divorce -, the fund is fully at risk where the beneficiary takes the benefits as a lump sum. </w:t>
      </w:r>
    </w:p>
    <w:p w:rsidR="00B60B52" w:rsidRPr="003F05E0" w:rsidRDefault="00B60B52" w:rsidP="003F05E0">
      <w:pPr>
        <w:pStyle w:val="Standard"/>
        <w:spacing w:line="273" w:lineRule="auto"/>
        <w:ind w:left="1980" w:right="193"/>
        <w:jc w:val="both"/>
        <w:rPr>
          <w:rFonts w:ascii="Arial" w:eastAsia="Arial" w:hAnsi="Arial" w:cs="Arial"/>
        </w:rPr>
      </w:pPr>
    </w:p>
    <w:p w:rsidR="003F05E0" w:rsidRDefault="004271FF" w:rsidP="003F05E0">
      <w:pPr>
        <w:pStyle w:val="Standard"/>
        <w:numPr>
          <w:ilvl w:val="2"/>
          <w:numId w:val="2"/>
        </w:numPr>
        <w:spacing w:line="273" w:lineRule="auto"/>
        <w:ind w:right="193"/>
        <w:jc w:val="both"/>
        <w:rPr>
          <w:rFonts w:ascii="Arial" w:eastAsia="Arial" w:hAnsi="Arial" w:cs="Arial"/>
        </w:rPr>
      </w:pPr>
      <w:r w:rsidRPr="003F05E0">
        <w:rPr>
          <w:rFonts w:ascii="Arial" w:eastAsia="Arial" w:hAnsi="Arial" w:cs="Arial"/>
        </w:rPr>
        <w:t xml:space="preserve">Where a Nominated beneficiary receives the benefit under the new flexible pension legislation, the fund is also at risk if they divorce or become bankrupt. </w:t>
      </w:r>
    </w:p>
    <w:p w:rsidR="003F05E0" w:rsidRDefault="003F05E0" w:rsidP="003F05E0">
      <w:pPr>
        <w:pStyle w:val="ListParagraph"/>
        <w:rPr>
          <w:rFonts w:ascii="Arial" w:eastAsia="Arial" w:hAnsi="Arial" w:cs="Arial"/>
        </w:rPr>
      </w:pPr>
    </w:p>
    <w:p w:rsidR="003F05E0" w:rsidRDefault="004271FF" w:rsidP="003F05E0">
      <w:pPr>
        <w:pStyle w:val="Standard"/>
        <w:numPr>
          <w:ilvl w:val="2"/>
          <w:numId w:val="2"/>
        </w:numPr>
        <w:spacing w:line="273" w:lineRule="auto"/>
        <w:ind w:right="193"/>
        <w:jc w:val="both"/>
        <w:rPr>
          <w:rFonts w:ascii="Arial" w:eastAsia="Arial" w:hAnsi="Arial" w:cs="Arial"/>
        </w:rPr>
      </w:pPr>
      <w:r w:rsidRPr="003F05E0">
        <w:rPr>
          <w:rFonts w:ascii="Arial" w:eastAsia="Arial" w:hAnsi="Arial" w:cs="Arial"/>
        </w:rPr>
        <w:t xml:space="preserve">Remarriage of Surviving Spouse. On first death if all the assets become solely owned by or are available to the surviving spouse/partner, what happens if the surviving spouse/partner remarries? All or part of the pension fund could be lost to your children upon the spouse’s/partner’s subsequent Death or Divorce. </w:t>
      </w:r>
    </w:p>
    <w:p w:rsidR="00B60B52" w:rsidRPr="003F05E0" w:rsidRDefault="00B60B52" w:rsidP="00D259FF">
      <w:pPr>
        <w:pStyle w:val="Standard"/>
        <w:spacing w:line="273" w:lineRule="auto"/>
        <w:ind w:right="193"/>
        <w:jc w:val="both"/>
        <w:rPr>
          <w:rFonts w:ascii="Arial" w:eastAsia="Arial" w:hAnsi="Arial" w:cs="Arial"/>
        </w:rPr>
      </w:pPr>
    </w:p>
    <w:p w:rsidR="003F05E0" w:rsidRPr="003F05E0" w:rsidRDefault="003F05E0" w:rsidP="003F05E0">
      <w:pPr>
        <w:pStyle w:val="Standard"/>
        <w:numPr>
          <w:ilvl w:val="2"/>
          <w:numId w:val="2"/>
        </w:numPr>
        <w:spacing w:line="273" w:lineRule="auto"/>
        <w:ind w:right="193"/>
        <w:jc w:val="both"/>
      </w:pPr>
      <w:r>
        <w:rPr>
          <w:rFonts w:ascii="Arial" w:eastAsia="Arial" w:hAnsi="Arial" w:cs="Arial"/>
        </w:rPr>
        <w:t xml:space="preserve">Care Costs. </w:t>
      </w:r>
      <w:r w:rsidR="004271FF" w:rsidRPr="003F05E0">
        <w:rPr>
          <w:rFonts w:ascii="Arial" w:eastAsia="Arial" w:hAnsi="Arial" w:cs="Arial"/>
        </w:rPr>
        <w:t>Following first death, should the surviving spouse/partner need care, then the whole estate including the family home would be assessed to pay for the cost of that care. This may include pension benefits considered ‘available’ to the care user even if they are not taking benefits.</w:t>
      </w:r>
      <w:r w:rsidR="004271FF">
        <w:rPr>
          <w:rFonts w:ascii="Arial" w:eastAsia="Arial" w:hAnsi="Arial" w:cs="Arial"/>
          <w:color w:val="222222"/>
          <w:sz w:val="18"/>
          <w:szCs w:val="18"/>
          <w:shd w:val="clear" w:color="auto" w:fill="FFFFFF"/>
        </w:rPr>
        <w:t xml:space="preserve"> </w:t>
      </w:r>
    </w:p>
    <w:p w:rsidR="00B60B52" w:rsidRDefault="004271FF" w:rsidP="003F05E0">
      <w:pPr>
        <w:pStyle w:val="Standard"/>
        <w:spacing w:line="273" w:lineRule="auto"/>
        <w:ind w:left="1980" w:right="193"/>
        <w:jc w:val="both"/>
      </w:pPr>
      <w:r>
        <w:rPr>
          <w:rFonts w:ascii="Arial" w:eastAsia="Arial" w:hAnsi="Arial" w:cs="Arial"/>
          <w:color w:val="222222"/>
          <w:sz w:val="18"/>
          <w:szCs w:val="18"/>
          <w:shd w:val="clear" w:color="auto" w:fill="FFFFFF"/>
        </w:rPr>
        <w:br/>
      </w:r>
    </w:p>
    <w:p w:rsidR="00B60B52" w:rsidRPr="003F05E0" w:rsidRDefault="004271FF" w:rsidP="003F05E0">
      <w:pPr>
        <w:pStyle w:val="Standard"/>
        <w:spacing w:line="276" w:lineRule="auto"/>
        <w:ind w:left="1382" w:right="193"/>
        <w:jc w:val="both"/>
        <w:rPr>
          <w:rFonts w:ascii="Arial" w:eastAsia="Arial" w:hAnsi="Arial" w:cs="Arial"/>
        </w:rPr>
      </w:pPr>
      <w:r w:rsidRPr="003F05E0">
        <w:rPr>
          <w:rFonts w:ascii="Arial" w:eastAsia="Arial" w:hAnsi="Arial" w:cs="Arial"/>
        </w:rPr>
        <w:lastRenderedPageBreak/>
        <w:t xml:space="preserve">This can be a complicated area, and these points highlight the considerations. A solution which has attracted a lot </w:t>
      </w:r>
      <w:proofErr w:type="spellStart"/>
      <w:r w:rsidRPr="003F05E0">
        <w:rPr>
          <w:rFonts w:ascii="Arial" w:eastAsia="Arial" w:hAnsi="Arial" w:cs="Arial"/>
        </w:rPr>
        <w:t>if</w:t>
      </w:r>
      <w:proofErr w:type="spellEnd"/>
      <w:r w:rsidRPr="003F05E0">
        <w:rPr>
          <w:rFonts w:ascii="Arial" w:eastAsia="Arial" w:hAnsi="Arial" w:cs="Arial"/>
        </w:rPr>
        <w:t xml:space="preserve"> interest is a family pension death benefit trust which gives flexibility to how benefits are paid out on death. </w:t>
      </w:r>
    </w:p>
    <w:p w:rsidR="00B60B52" w:rsidRPr="003F05E0" w:rsidRDefault="00B60B52" w:rsidP="003F05E0">
      <w:pPr>
        <w:pStyle w:val="Standard"/>
        <w:spacing w:line="276" w:lineRule="auto"/>
        <w:ind w:left="1382" w:right="193"/>
        <w:jc w:val="both"/>
        <w:rPr>
          <w:rFonts w:ascii="Arial" w:eastAsia="Arial" w:hAnsi="Arial" w:cs="Arial"/>
        </w:rPr>
      </w:pPr>
    </w:p>
    <w:p w:rsidR="00B93171" w:rsidRDefault="004271FF" w:rsidP="003F05E0">
      <w:pPr>
        <w:pStyle w:val="Standard"/>
        <w:spacing w:line="276" w:lineRule="auto"/>
        <w:ind w:left="1382" w:right="193"/>
        <w:jc w:val="both"/>
        <w:rPr>
          <w:rFonts w:ascii="Arial" w:eastAsia="Arial" w:hAnsi="Arial" w:cs="Arial"/>
        </w:rPr>
      </w:pPr>
      <w:r w:rsidRPr="003F05E0">
        <w:rPr>
          <w:rFonts w:ascii="Arial" w:eastAsia="Arial" w:hAnsi="Arial" w:cs="Arial"/>
        </w:rPr>
        <w:t xml:space="preserve">To help deliver that solution, we would guide you on how to appoint Trustees to the Family Pension Death Benefits Trust. Those trustees can then make the decision to accept the pension funds on death or optimise the flexibility and tax benefits of the new </w:t>
      </w:r>
      <w:proofErr w:type="gramStart"/>
      <w:r w:rsidRPr="003F05E0">
        <w:rPr>
          <w:rFonts w:ascii="Arial" w:eastAsia="Arial" w:hAnsi="Arial" w:cs="Arial"/>
        </w:rPr>
        <w:t>pensions</w:t>
      </w:r>
      <w:proofErr w:type="gramEnd"/>
      <w:r w:rsidRPr="003F05E0">
        <w:rPr>
          <w:rFonts w:ascii="Arial" w:eastAsia="Arial" w:hAnsi="Arial" w:cs="Arial"/>
        </w:rPr>
        <w:t xml:space="preserve"> freedom legislation. We can provide an independent trustee role through our nominated independent trustee company to ensure independence of the beneficial members and that your wishes are fulfilled.</w:t>
      </w:r>
    </w:p>
    <w:p w:rsidR="00B93171" w:rsidRDefault="00B93171">
      <w:pPr>
        <w:rPr>
          <w:rFonts w:ascii="Arial" w:eastAsia="Arial" w:hAnsi="Arial" w:cs="Arial"/>
          <w:color w:val="000000"/>
          <w:sz w:val="22"/>
          <w:szCs w:val="22"/>
        </w:rPr>
      </w:pPr>
      <w:r>
        <w:rPr>
          <w:rFonts w:ascii="Arial" w:eastAsia="Arial" w:hAnsi="Arial" w:cs="Arial"/>
        </w:rPr>
        <w:br w:type="page"/>
      </w:r>
    </w:p>
    <w:p w:rsidR="00B60B52" w:rsidRPr="003F05E0" w:rsidRDefault="00B60B52" w:rsidP="003F05E0">
      <w:pPr>
        <w:pStyle w:val="Standard"/>
        <w:spacing w:line="276" w:lineRule="auto"/>
        <w:ind w:left="1382" w:right="193"/>
        <w:jc w:val="both"/>
        <w:rPr>
          <w:rFonts w:ascii="Arial" w:eastAsia="Arial" w:hAnsi="Arial" w:cs="Arial"/>
        </w:rPr>
      </w:pPr>
    </w:p>
    <w:p w:rsidR="00B60B52" w:rsidRDefault="00B60B52">
      <w:pPr>
        <w:pStyle w:val="Standard"/>
        <w:tabs>
          <w:tab w:val="left" w:pos="1918"/>
        </w:tabs>
        <w:rPr>
          <w:rFonts w:ascii="Arial" w:eastAsia="Arial" w:hAnsi="Arial" w:cs="Arial"/>
          <w:color w:val="222222"/>
          <w:sz w:val="18"/>
          <w:szCs w:val="18"/>
          <w:shd w:val="clear" w:color="auto" w:fill="FFFFFF"/>
        </w:rPr>
      </w:pPr>
    </w:p>
    <w:p w:rsidR="00B60B52" w:rsidRPr="00B93171" w:rsidRDefault="004271FF" w:rsidP="00B93171">
      <w:pPr>
        <w:pStyle w:val="Standard"/>
        <w:numPr>
          <w:ilvl w:val="0"/>
          <w:numId w:val="13"/>
        </w:numPr>
        <w:ind w:right="4285"/>
        <w:jc w:val="both"/>
        <w:rPr>
          <w:rFonts w:ascii="Arial" w:eastAsia="Arial" w:hAnsi="Arial" w:cs="Arial"/>
          <w:b/>
          <w:bCs/>
          <w:color w:val="1FAFD6"/>
          <w:sz w:val="48"/>
          <w:szCs w:val="48"/>
        </w:rPr>
      </w:pPr>
      <w:r>
        <w:rPr>
          <w:rFonts w:ascii="Arial" w:eastAsia="Arial" w:hAnsi="Arial" w:cs="Arial"/>
          <w:b/>
          <w:bCs/>
          <w:color w:val="1FAFD6"/>
          <w:sz w:val="48"/>
          <w:szCs w:val="48"/>
        </w:rPr>
        <w:t>New Services</w:t>
      </w:r>
    </w:p>
    <w:p w:rsidR="00B60B52" w:rsidRDefault="00B60B52">
      <w:pPr>
        <w:pStyle w:val="Standard"/>
        <w:spacing w:line="268" w:lineRule="auto"/>
        <w:ind w:left="1382" w:right="112"/>
        <w:jc w:val="both"/>
        <w:rPr>
          <w:sz w:val="20"/>
          <w:szCs w:val="20"/>
        </w:rPr>
      </w:pPr>
    </w:p>
    <w:p w:rsidR="00B60B52" w:rsidRPr="003F05E0" w:rsidRDefault="004271FF" w:rsidP="003F05E0">
      <w:pPr>
        <w:pStyle w:val="Standard"/>
        <w:spacing w:line="276" w:lineRule="auto"/>
        <w:ind w:left="1382" w:right="193"/>
        <w:jc w:val="both"/>
        <w:rPr>
          <w:rFonts w:ascii="Arial" w:eastAsia="Arial" w:hAnsi="Arial" w:cs="Arial"/>
        </w:rPr>
      </w:pPr>
      <w:r w:rsidRPr="003F05E0">
        <w:rPr>
          <w:rFonts w:ascii="Arial" w:eastAsia="Arial" w:hAnsi="Arial" w:cs="Arial"/>
        </w:rPr>
        <w:t xml:space="preserve">The changes to pension scheme rules from April 2015 are set to transform pension schemes to operate like bank accounts in retirement; by this we mean you can draw as little or as much as you wish from your SSAS and other private pensions but you will pay income tax on those payments in the UK. Improved rules surrounding death benefits are set to ensure that IHT planning surrounding </w:t>
      </w:r>
      <w:proofErr w:type="gramStart"/>
      <w:r w:rsidRPr="003F05E0">
        <w:rPr>
          <w:rFonts w:ascii="Arial" w:eastAsia="Arial" w:hAnsi="Arial" w:cs="Arial"/>
        </w:rPr>
        <w:t>pensions</w:t>
      </w:r>
      <w:proofErr w:type="gramEnd"/>
      <w:r w:rsidRPr="003F05E0">
        <w:rPr>
          <w:rFonts w:ascii="Arial" w:eastAsia="Arial" w:hAnsi="Arial" w:cs="Arial"/>
        </w:rPr>
        <w:t xml:space="preserve"> plays now plays an important role in overall IHT planning with your business. For example, a trust working in tandem with your pension scheme can ensure succes</w:t>
      </w:r>
      <w:r w:rsidR="003F05E0">
        <w:rPr>
          <w:rFonts w:ascii="Arial" w:eastAsia="Arial" w:hAnsi="Arial" w:cs="Arial"/>
        </w:rPr>
        <w:t xml:space="preserve">sion planning of your personal </w:t>
      </w:r>
      <w:r w:rsidRPr="003F05E0">
        <w:rPr>
          <w:rFonts w:ascii="Arial" w:eastAsia="Arial" w:hAnsi="Arial" w:cs="Arial"/>
        </w:rPr>
        <w:t xml:space="preserve">pension and business assets tax efficiently. </w:t>
      </w:r>
    </w:p>
    <w:p w:rsidR="00B60B52" w:rsidRPr="003F05E0" w:rsidRDefault="00B60B52" w:rsidP="003F05E0">
      <w:pPr>
        <w:pStyle w:val="Standard"/>
        <w:spacing w:line="276" w:lineRule="auto"/>
        <w:ind w:left="1382" w:right="193"/>
        <w:jc w:val="both"/>
        <w:rPr>
          <w:rFonts w:ascii="Arial" w:eastAsia="Arial" w:hAnsi="Arial" w:cs="Arial"/>
        </w:rPr>
      </w:pPr>
    </w:p>
    <w:p w:rsidR="00B60B52" w:rsidRPr="003F05E0" w:rsidRDefault="004271FF" w:rsidP="003F05E0">
      <w:pPr>
        <w:pStyle w:val="Standard"/>
        <w:spacing w:line="276" w:lineRule="auto"/>
        <w:ind w:left="1382" w:right="193"/>
        <w:jc w:val="both"/>
        <w:rPr>
          <w:rFonts w:ascii="Arial" w:eastAsia="Arial" w:hAnsi="Arial" w:cs="Arial"/>
        </w:rPr>
      </w:pPr>
      <w:r w:rsidRPr="003F05E0">
        <w:rPr>
          <w:rFonts w:ascii="Arial" w:eastAsia="Arial" w:hAnsi="Arial" w:cs="Arial"/>
        </w:rPr>
        <w:t>Our launch of the “p</w:t>
      </w:r>
      <w:r w:rsidR="003F05E0">
        <w:rPr>
          <w:rFonts w:ascii="Arial" w:eastAsia="Arial" w:hAnsi="Arial" w:cs="Arial"/>
        </w:rPr>
        <w:t>rotection practitioner” service</w:t>
      </w:r>
      <w:r w:rsidRPr="003F05E0">
        <w:rPr>
          <w:rFonts w:ascii="Arial" w:eastAsia="Arial" w:hAnsi="Arial" w:cs="Arial"/>
        </w:rPr>
        <w:t xml:space="preserve"> is geared towards delivering trust planning options for </w:t>
      </w:r>
      <w:r w:rsidR="003F05E0">
        <w:rPr>
          <w:rFonts w:ascii="Arial" w:eastAsia="Arial" w:hAnsi="Arial" w:cs="Arial"/>
        </w:rPr>
        <w:t xml:space="preserve">you as the member of the SSAS </w:t>
      </w:r>
      <w:r w:rsidRPr="003F05E0">
        <w:rPr>
          <w:rFonts w:ascii="Arial" w:eastAsia="Arial" w:hAnsi="Arial" w:cs="Arial"/>
        </w:rPr>
        <w:t>and your business; the details of which will follow.</w:t>
      </w:r>
    </w:p>
    <w:p w:rsidR="00B60B52" w:rsidRPr="003F05E0" w:rsidRDefault="00B60B52" w:rsidP="003F05E0">
      <w:pPr>
        <w:pStyle w:val="Standard"/>
        <w:spacing w:line="276" w:lineRule="auto"/>
        <w:ind w:left="1382" w:right="193"/>
        <w:jc w:val="both"/>
        <w:rPr>
          <w:rFonts w:ascii="Arial" w:eastAsia="Arial" w:hAnsi="Arial" w:cs="Arial"/>
        </w:rPr>
      </w:pPr>
    </w:p>
    <w:p w:rsidR="00B60B52" w:rsidRPr="003F05E0" w:rsidRDefault="004271FF" w:rsidP="003F05E0">
      <w:pPr>
        <w:pStyle w:val="Standard"/>
        <w:spacing w:line="276" w:lineRule="auto"/>
        <w:ind w:left="1382" w:right="193"/>
        <w:jc w:val="both"/>
        <w:rPr>
          <w:rFonts w:ascii="Arial" w:eastAsia="Arial" w:hAnsi="Arial" w:cs="Arial"/>
        </w:rPr>
      </w:pPr>
      <w:r w:rsidRPr="003F05E0">
        <w:rPr>
          <w:rFonts w:ascii="Arial" w:eastAsia="Arial" w:hAnsi="Arial" w:cs="Arial"/>
        </w:rPr>
        <w:t xml:space="preserve">We are also pleased to announce the launch of My Workplace Pension; which is an auto-enrolment solution for the small business community. Regulations place a legal requirement on ensuring that you provide a pension scheme for your workers. Our qualifying auto-enrolment scheme is a recognised and accredited scheme, backed by professional indemnity, with membership of the National Association of Pension Funds and funds managed by an experienced and proven fund management team. Our pension consultancy team will contact you in connection with this new legal requirement. </w:t>
      </w:r>
    </w:p>
    <w:p w:rsidR="00B60B52" w:rsidRDefault="00B60B52">
      <w:pPr>
        <w:pStyle w:val="Standard"/>
        <w:spacing w:line="268" w:lineRule="auto"/>
        <w:ind w:left="1382" w:right="112"/>
        <w:jc w:val="both"/>
        <w:rPr>
          <w:sz w:val="20"/>
          <w:szCs w:val="20"/>
        </w:rPr>
      </w:pPr>
    </w:p>
    <w:p w:rsidR="00B60B52" w:rsidRDefault="00B60B52">
      <w:pPr>
        <w:pStyle w:val="Standard"/>
        <w:spacing w:line="268" w:lineRule="auto"/>
        <w:ind w:left="1382" w:right="112"/>
        <w:jc w:val="both"/>
        <w:rPr>
          <w:sz w:val="20"/>
          <w:szCs w:val="20"/>
        </w:rPr>
      </w:pPr>
    </w:p>
    <w:sectPr w:rsidR="00B60B52" w:rsidSect="008F49C0">
      <w:headerReference w:type="even" r:id="rId20"/>
      <w:headerReference w:type="default" r:id="rId21"/>
      <w:footerReference w:type="even" r:id="rId22"/>
      <w:footerReference w:type="default" r:id="rId23"/>
      <w:headerReference w:type="first" r:id="rId24"/>
      <w:footerReference w:type="first" r:id="rId25"/>
      <w:pgSz w:w="11904" w:h="16840"/>
      <w:pgMar w:top="1560" w:right="1100" w:bottom="0" w:left="1680" w:header="720" w:footer="226"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1A29" w:rsidRDefault="00D41A29" w:rsidP="00B60B52">
      <w:r>
        <w:separator/>
      </w:r>
    </w:p>
  </w:endnote>
  <w:endnote w:type="continuationSeparator" w:id="0">
    <w:p w:rsidR="00D41A29" w:rsidRDefault="00D41A29" w:rsidP="00B60B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49C0" w:rsidRDefault="008F49C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0B52" w:rsidRDefault="001F7979">
    <w:pPr>
      <w:pStyle w:val="Standard"/>
      <w:spacing w:after="754"/>
    </w:pPr>
    <w:r w:rsidRPr="001F7979">
      <w:rPr>
        <w:noProof/>
      </w:rPr>
      <w:drawing>
        <wp:inline distT="0" distB="0" distL="0" distR="0">
          <wp:extent cx="4432300" cy="165667"/>
          <wp:effectExtent l="0" t="0" r="0" b="0"/>
          <wp:docPr id="4" name="Picture 2" descr="PP Word Foot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P Word Footer.png"/>
                  <pic:cNvPicPr/>
                </pic:nvPicPr>
                <pic:blipFill>
                  <a:blip r:embed="rId1"/>
                  <a:stretch>
                    <a:fillRect/>
                  </a:stretch>
                </pic:blipFill>
                <pic:spPr>
                  <a:xfrm>
                    <a:off x="0" y="0"/>
                    <a:ext cx="4432300" cy="165667"/>
                  </a:xfrm>
                  <a:prstGeom prst="rect">
                    <a:avLst/>
                  </a:prstGeom>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49C0" w:rsidRDefault="008F49C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1A29" w:rsidRDefault="00D41A29" w:rsidP="00B60B52">
      <w:r>
        <w:separator/>
      </w:r>
    </w:p>
  </w:footnote>
  <w:footnote w:type="continuationSeparator" w:id="0">
    <w:p w:rsidR="00D41A29" w:rsidRDefault="00D41A29" w:rsidP="00B60B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49C0" w:rsidRDefault="008F49C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49C0" w:rsidRDefault="008F49C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49C0" w:rsidRDefault="008F49C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CB6ED5"/>
    <w:multiLevelType w:val="multilevel"/>
    <w:tmpl w:val="45A43706"/>
    <w:styleLink w:val="LS4"/>
    <w:lvl w:ilvl="0">
      <w:numFmt w:val="bullet"/>
      <w:lvlText w:val="●"/>
      <w:lvlJc w:val="left"/>
      <w:pPr>
        <w:ind w:left="2764" w:hanging="1382"/>
      </w:pPr>
      <w:rPr>
        <w:rFonts w:ascii="Arial" w:eastAsia="Arial" w:hAnsi="Arial" w:cs="Arial"/>
      </w:rPr>
    </w:lvl>
    <w:lvl w:ilvl="1">
      <w:numFmt w:val="bullet"/>
      <w:lvlText w:val="o"/>
      <w:lvlJc w:val="left"/>
      <w:pPr>
        <w:ind w:left="3484" w:hanging="1382"/>
      </w:pPr>
      <w:rPr>
        <w:rFonts w:ascii="Arial" w:eastAsia="Arial" w:hAnsi="Arial" w:cs="Arial"/>
      </w:rPr>
    </w:lvl>
    <w:lvl w:ilvl="2">
      <w:numFmt w:val="bullet"/>
      <w:lvlText w:val="▪"/>
      <w:lvlJc w:val="left"/>
      <w:pPr>
        <w:ind w:left="4204" w:hanging="1202"/>
      </w:pPr>
      <w:rPr>
        <w:rFonts w:ascii="Arial" w:eastAsia="Arial" w:hAnsi="Arial" w:cs="Arial"/>
      </w:rPr>
    </w:lvl>
    <w:lvl w:ilvl="3">
      <w:numFmt w:val="bullet"/>
      <w:lvlText w:val="●"/>
      <w:lvlJc w:val="left"/>
      <w:pPr>
        <w:ind w:left="4924" w:hanging="1382"/>
      </w:pPr>
      <w:rPr>
        <w:rFonts w:ascii="Arial" w:eastAsia="Arial" w:hAnsi="Arial" w:cs="Arial"/>
      </w:rPr>
    </w:lvl>
    <w:lvl w:ilvl="4">
      <w:numFmt w:val="bullet"/>
      <w:lvlText w:val="o"/>
      <w:lvlJc w:val="left"/>
      <w:pPr>
        <w:ind w:left="5644" w:hanging="1382"/>
      </w:pPr>
      <w:rPr>
        <w:rFonts w:ascii="Arial" w:eastAsia="Arial" w:hAnsi="Arial" w:cs="Arial"/>
      </w:rPr>
    </w:lvl>
    <w:lvl w:ilvl="5">
      <w:numFmt w:val="bullet"/>
      <w:lvlText w:val="▪"/>
      <w:lvlJc w:val="left"/>
      <w:pPr>
        <w:ind w:left="6364" w:hanging="1202"/>
      </w:pPr>
      <w:rPr>
        <w:rFonts w:ascii="Arial" w:eastAsia="Arial" w:hAnsi="Arial" w:cs="Arial"/>
      </w:rPr>
    </w:lvl>
    <w:lvl w:ilvl="6">
      <w:numFmt w:val="bullet"/>
      <w:lvlText w:val="●"/>
      <w:lvlJc w:val="left"/>
      <w:pPr>
        <w:ind w:left="7084" w:hanging="1382"/>
      </w:pPr>
      <w:rPr>
        <w:rFonts w:ascii="Arial" w:eastAsia="Arial" w:hAnsi="Arial" w:cs="Arial"/>
      </w:rPr>
    </w:lvl>
    <w:lvl w:ilvl="7">
      <w:numFmt w:val="bullet"/>
      <w:lvlText w:val="o"/>
      <w:lvlJc w:val="left"/>
      <w:pPr>
        <w:ind w:left="7804" w:hanging="1382"/>
      </w:pPr>
      <w:rPr>
        <w:rFonts w:ascii="Arial" w:eastAsia="Arial" w:hAnsi="Arial" w:cs="Arial"/>
      </w:rPr>
    </w:lvl>
    <w:lvl w:ilvl="8">
      <w:numFmt w:val="bullet"/>
      <w:lvlText w:val="▪"/>
      <w:lvlJc w:val="left"/>
      <w:pPr>
        <w:ind w:left="8524" w:hanging="1202"/>
      </w:pPr>
      <w:rPr>
        <w:rFonts w:ascii="Arial" w:eastAsia="Arial" w:hAnsi="Arial" w:cs="Arial"/>
      </w:rPr>
    </w:lvl>
  </w:abstractNum>
  <w:abstractNum w:abstractNumId="1">
    <w:nsid w:val="30A27C0E"/>
    <w:multiLevelType w:val="multilevel"/>
    <w:tmpl w:val="2ABCB8B6"/>
    <w:lvl w:ilvl="0">
      <w:start w:val="1"/>
      <w:numFmt w:val="decimal"/>
      <w:lvlText w:val="%1."/>
      <w:lvlJc w:val="left"/>
      <w:pPr>
        <w:ind w:left="360" w:firstLine="0"/>
      </w:pPr>
      <w:rPr>
        <w:rFonts w:ascii="Arial" w:eastAsia="Arial" w:hAnsi="Arial" w:cs="Arial"/>
        <w:b/>
        <w:bCs/>
        <w:color w:val="808080"/>
        <w:sz w:val="48"/>
        <w:szCs w:val="48"/>
      </w:rPr>
    </w:lvl>
    <w:lvl w:ilvl="1">
      <w:numFmt w:val="bullet"/>
      <w:lvlText w:val="●"/>
      <w:lvlJc w:val="left"/>
      <w:pPr>
        <w:ind w:left="1080" w:firstLine="0"/>
      </w:pPr>
      <w:rPr>
        <w:rFonts w:ascii="Arial" w:eastAsia="Arial" w:hAnsi="Arial" w:cs="Arial"/>
        <w:sz w:val="22"/>
        <w:szCs w:val="22"/>
      </w:rPr>
    </w:lvl>
    <w:lvl w:ilvl="2">
      <w:numFmt w:val="bullet"/>
      <w:lvlText w:val="•"/>
      <w:lvlJc w:val="left"/>
      <w:pPr>
        <w:ind w:left="1980" w:firstLine="0"/>
      </w:pPr>
      <w:rPr>
        <w:rFonts w:ascii="Arial" w:eastAsia="Arial" w:hAnsi="Arial" w:cs="Arial"/>
      </w:rPr>
    </w:lvl>
    <w:lvl w:ilvl="3">
      <w:numFmt w:val="bullet"/>
      <w:lvlText w:val="•"/>
      <w:lvlJc w:val="left"/>
      <w:pPr>
        <w:ind w:left="2520" w:firstLine="0"/>
      </w:pPr>
      <w:rPr>
        <w:rFonts w:ascii="Arial" w:eastAsia="Arial" w:hAnsi="Arial" w:cs="Arial"/>
      </w:rPr>
    </w:lvl>
    <w:lvl w:ilvl="4">
      <w:numFmt w:val="bullet"/>
      <w:lvlText w:val="•"/>
      <w:lvlJc w:val="left"/>
      <w:pPr>
        <w:ind w:left="3240" w:firstLine="0"/>
      </w:pPr>
      <w:rPr>
        <w:rFonts w:ascii="Arial" w:eastAsia="Arial" w:hAnsi="Arial" w:cs="Arial"/>
      </w:rPr>
    </w:lvl>
    <w:lvl w:ilvl="5">
      <w:numFmt w:val="bullet"/>
      <w:lvlText w:val="•"/>
      <w:lvlJc w:val="left"/>
      <w:pPr>
        <w:ind w:left="4140" w:firstLine="0"/>
      </w:pPr>
      <w:rPr>
        <w:rFonts w:ascii="Arial" w:eastAsia="Arial" w:hAnsi="Arial" w:cs="Arial"/>
      </w:rPr>
    </w:lvl>
    <w:lvl w:ilvl="6">
      <w:numFmt w:val="bullet"/>
      <w:lvlText w:val="•"/>
      <w:lvlJc w:val="left"/>
      <w:pPr>
        <w:ind w:left="4680" w:firstLine="0"/>
      </w:pPr>
      <w:rPr>
        <w:rFonts w:ascii="Arial" w:eastAsia="Arial" w:hAnsi="Arial" w:cs="Arial"/>
      </w:rPr>
    </w:lvl>
    <w:lvl w:ilvl="7">
      <w:numFmt w:val="bullet"/>
      <w:lvlText w:val="•"/>
      <w:lvlJc w:val="left"/>
      <w:pPr>
        <w:ind w:left="5400" w:firstLine="0"/>
      </w:pPr>
      <w:rPr>
        <w:rFonts w:ascii="Arial" w:eastAsia="Arial" w:hAnsi="Arial" w:cs="Arial"/>
      </w:rPr>
    </w:lvl>
    <w:lvl w:ilvl="8">
      <w:numFmt w:val="bullet"/>
      <w:lvlText w:val="•"/>
      <w:lvlJc w:val="left"/>
      <w:pPr>
        <w:ind w:left="6300" w:firstLine="0"/>
      </w:pPr>
      <w:rPr>
        <w:rFonts w:ascii="Arial" w:eastAsia="Arial" w:hAnsi="Arial" w:cs="Arial"/>
      </w:rPr>
    </w:lvl>
  </w:abstractNum>
  <w:abstractNum w:abstractNumId="2">
    <w:nsid w:val="39D135F3"/>
    <w:multiLevelType w:val="multilevel"/>
    <w:tmpl w:val="BA922144"/>
    <w:styleLink w:val="LS5"/>
    <w:lvl w:ilvl="0">
      <w:numFmt w:val="bullet"/>
      <w:lvlText w:val="●"/>
      <w:lvlJc w:val="left"/>
      <w:pPr>
        <w:ind w:left="720" w:hanging="360"/>
      </w:pPr>
      <w:rPr>
        <w:rFonts w:ascii="Arial" w:eastAsia="Arial" w:hAnsi="Arial" w:cs="Arial"/>
        <w:color w:val="222222"/>
        <w:sz w:val="18"/>
        <w:szCs w:val="18"/>
        <w:u w:val="none"/>
        <w:shd w:val="clear" w:color="auto" w:fill="FFFFFF"/>
      </w:rPr>
    </w:lvl>
    <w:lvl w:ilvl="1">
      <w:numFmt w:val="bullet"/>
      <w:lvlText w:val="○"/>
      <w:lvlJc w:val="left"/>
      <w:pPr>
        <w:ind w:left="1440" w:hanging="360"/>
      </w:pPr>
      <w:rPr>
        <w:u w:val="none"/>
      </w:rPr>
    </w:lvl>
    <w:lvl w:ilvl="2">
      <w:numFmt w:val="bullet"/>
      <w:lvlText w:val="■"/>
      <w:lvlJc w:val="left"/>
      <w:pPr>
        <w:ind w:left="2160" w:hanging="18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18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180"/>
      </w:pPr>
      <w:rPr>
        <w:u w:val="none"/>
      </w:rPr>
    </w:lvl>
  </w:abstractNum>
  <w:abstractNum w:abstractNumId="3">
    <w:nsid w:val="46031F37"/>
    <w:multiLevelType w:val="multilevel"/>
    <w:tmpl w:val="2ABCB8B6"/>
    <w:lvl w:ilvl="0">
      <w:start w:val="1"/>
      <w:numFmt w:val="decimal"/>
      <w:lvlText w:val="%1."/>
      <w:lvlJc w:val="left"/>
      <w:pPr>
        <w:ind w:left="360" w:firstLine="0"/>
      </w:pPr>
      <w:rPr>
        <w:rFonts w:ascii="Arial" w:eastAsia="Arial" w:hAnsi="Arial" w:cs="Arial"/>
        <w:b/>
        <w:bCs/>
        <w:color w:val="808080"/>
        <w:sz w:val="48"/>
        <w:szCs w:val="48"/>
      </w:rPr>
    </w:lvl>
    <w:lvl w:ilvl="1">
      <w:numFmt w:val="bullet"/>
      <w:lvlText w:val="●"/>
      <w:lvlJc w:val="left"/>
      <w:pPr>
        <w:ind w:left="1080" w:firstLine="0"/>
      </w:pPr>
      <w:rPr>
        <w:rFonts w:ascii="Arial" w:eastAsia="Arial" w:hAnsi="Arial" w:cs="Arial"/>
        <w:sz w:val="22"/>
        <w:szCs w:val="22"/>
      </w:rPr>
    </w:lvl>
    <w:lvl w:ilvl="2">
      <w:numFmt w:val="bullet"/>
      <w:lvlText w:val="•"/>
      <w:lvlJc w:val="left"/>
      <w:pPr>
        <w:ind w:left="1980" w:firstLine="0"/>
      </w:pPr>
      <w:rPr>
        <w:rFonts w:ascii="Arial" w:eastAsia="Arial" w:hAnsi="Arial" w:cs="Arial"/>
      </w:rPr>
    </w:lvl>
    <w:lvl w:ilvl="3">
      <w:numFmt w:val="bullet"/>
      <w:lvlText w:val="•"/>
      <w:lvlJc w:val="left"/>
      <w:pPr>
        <w:ind w:left="2520" w:firstLine="0"/>
      </w:pPr>
      <w:rPr>
        <w:rFonts w:ascii="Arial" w:eastAsia="Arial" w:hAnsi="Arial" w:cs="Arial"/>
      </w:rPr>
    </w:lvl>
    <w:lvl w:ilvl="4">
      <w:numFmt w:val="bullet"/>
      <w:lvlText w:val="•"/>
      <w:lvlJc w:val="left"/>
      <w:pPr>
        <w:ind w:left="3240" w:firstLine="0"/>
      </w:pPr>
      <w:rPr>
        <w:rFonts w:ascii="Arial" w:eastAsia="Arial" w:hAnsi="Arial" w:cs="Arial"/>
      </w:rPr>
    </w:lvl>
    <w:lvl w:ilvl="5">
      <w:numFmt w:val="bullet"/>
      <w:lvlText w:val="•"/>
      <w:lvlJc w:val="left"/>
      <w:pPr>
        <w:ind w:left="4140" w:firstLine="0"/>
      </w:pPr>
      <w:rPr>
        <w:rFonts w:ascii="Arial" w:eastAsia="Arial" w:hAnsi="Arial" w:cs="Arial"/>
      </w:rPr>
    </w:lvl>
    <w:lvl w:ilvl="6">
      <w:numFmt w:val="bullet"/>
      <w:lvlText w:val="•"/>
      <w:lvlJc w:val="left"/>
      <w:pPr>
        <w:ind w:left="4680" w:firstLine="0"/>
      </w:pPr>
      <w:rPr>
        <w:rFonts w:ascii="Arial" w:eastAsia="Arial" w:hAnsi="Arial" w:cs="Arial"/>
      </w:rPr>
    </w:lvl>
    <w:lvl w:ilvl="7">
      <w:numFmt w:val="bullet"/>
      <w:lvlText w:val="•"/>
      <w:lvlJc w:val="left"/>
      <w:pPr>
        <w:ind w:left="5400" w:firstLine="0"/>
      </w:pPr>
      <w:rPr>
        <w:rFonts w:ascii="Arial" w:eastAsia="Arial" w:hAnsi="Arial" w:cs="Arial"/>
      </w:rPr>
    </w:lvl>
    <w:lvl w:ilvl="8">
      <w:numFmt w:val="bullet"/>
      <w:lvlText w:val="•"/>
      <w:lvlJc w:val="left"/>
      <w:pPr>
        <w:ind w:left="6300" w:firstLine="0"/>
      </w:pPr>
      <w:rPr>
        <w:rFonts w:ascii="Arial" w:eastAsia="Arial" w:hAnsi="Arial" w:cs="Arial"/>
      </w:rPr>
    </w:lvl>
  </w:abstractNum>
  <w:abstractNum w:abstractNumId="4">
    <w:nsid w:val="4F745FC0"/>
    <w:multiLevelType w:val="multilevel"/>
    <w:tmpl w:val="2ABCB8B6"/>
    <w:styleLink w:val="LS2"/>
    <w:lvl w:ilvl="0">
      <w:start w:val="1"/>
      <w:numFmt w:val="decimal"/>
      <w:lvlText w:val="%1."/>
      <w:lvlJc w:val="left"/>
      <w:pPr>
        <w:ind w:left="567" w:firstLine="0"/>
      </w:pPr>
      <w:rPr>
        <w:rFonts w:ascii="Arial" w:eastAsia="Arial" w:hAnsi="Arial" w:cs="Arial"/>
        <w:b/>
        <w:bCs/>
        <w:color w:val="808080"/>
        <w:sz w:val="48"/>
        <w:szCs w:val="48"/>
      </w:rPr>
    </w:lvl>
    <w:lvl w:ilvl="1">
      <w:numFmt w:val="bullet"/>
      <w:lvlText w:val="●"/>
      <w:lvlJc w:val="left"/>
      <w:pPr>
        <w:ind w:left="1287" w:firstLine="0"/>
      </w:pPr>
      <w:rPr>
        <w:rFonts w:ascii="Arial" w:eastAsia="Arial" w:hAnsi="Arial" w:cs="Arial"/>
        <w:sz w:val="22"/>
        <w:szCs w:val="22"/>
      </w:rPr>
    </w:lvl>
    <w:lvl w:ilvl="2">
      <w:numFmt w:val="bullet"/>
      <w:lvlText w:val="•"/>
      <w:lvlJc w:val="left"/>
      <w:pPr>
        <w:ind w:left="2187" w:firstLine="0"/>
      </w:pPr>
      <w:rPr>
        <w:rFonts w:ascii="Arial" w:eastAsia="Arial" w:hAnsi="Arial" w:cs="Arial"/>
      </w:rPr>
    </w:lvl>
    <w:lvl w:ilvl="3">
      <w:numFmt w:val="bullet"/>
      <w:lvlText w:val="•"/>
      <w:lvlJc w:val="left"/>
      <w:pPr>
        <w:ind w:left="2727" w:firstLine="0"/>
      </w:pPr>
      <w:rPr>
        <w:rFonts w:ascii="Arial" w:eastAsia="Arial" w:hAnsi="Arial" w:cs="Arial"/>
      </w:rPr>
    </w:lvl>
    <w:lvl w:ilvl="4">
      <w:numFmt w:val="bullet"/>
      <w:lvlText w:val="•"/>
      <w:lvlJc w:val="left"/>
      <w:pPr>
        <w:ind w:left="3447" w:firstLine="0"/>
      </w:pPr>
      <w:rPr>
        <w:rFonts w:ascii="Arial" w:eastAsia="Arial" w:hAnsi="Arial" w:cs="Arial"/>
      </w:rPr>
    </w:lvl>
    <w:lvl w:ilvl="5">
      <w:numFmt w:val="bullet"/>
      <w:lvlText w:val="•"/>
      <w:lvlJc w:val="left"/>
      <w:pPr>
        <w:ind w:left="4347" w:firstLine="0"/>
      </w:pPr>
      <w:rPr>
        <w:rFonts w:ascii="Arial" w:eastAsia="Arial" w:hAnsi="Arial" w:cs="Arial"/>
      </w:rPr>
    </w:lvl>
    <w:lvl w:ilvl="6">
      <w:numFmt w:val="bullet"/>
      <w:lvlText w:val="•"/>
      <w:lvlJc w:val="left"/>
      <w:pPr>
        <w:ind w:left="4887" w:firstLine="0"/>
      </w:pPr>
      <w:rPr>
        <w:rFonts w:ascii="Arial" w:eastAsia="Arial" w:hAnsi="Arial" w:cs="Arial"/>
      </w:rPr>
    </w:lvl>
    <w:lvl w:ilvl="7">
      <w:numFmt w:val="bullet"/>
      <w:lvlText w:val="•"/>
      <w:lvlJc w:val="left"/>
      <w:pPr>
        <w:ind w:left="5607" w:firstLine="0"/>
      </w:pPr>
      <w:rPr>
        <w:rFonts w:ascii="Arial" w:eastAsia="Arial" w:hAnsi="Arial" w:cs="Arial"/>
      </w:rPr>
    </w:lvl>
    <w:lvl w:ilvl="8">
      <w:numFmt w:val="bullet"/>
      <w:lvlText w:val="•"/>
      <w:lvlJc w:val="left"/>
      <w:pPr>
        <w:ind w:left="6507" w:firstLine="0"/>
      </w:pPr>
      <w:rPr>
        <w:rFonts w:ascii="Arial" w:eastAsia="Arial" w:hAnsi="Arial" w:cs="Arial"/>
      </w:rPr>
    </w:lvl>
  </w:abstractNum>
  <w:abstractNum w:abstractNumId="5">
    <w:nsid w:val="5084165F"/>
    <w:multiLevelType w:val="multilevel"/>
    <w:tmpl w:val="E7648E3C"/>
    <w:styleLink w:val="LS3"/>
    <w:lvl w:ilvl="0">
      <w:start w:val="1"/>
      <w:numFmt w:val="lowerLetter"/>
      <w:lvlText w:val="%1."/>
      <w:lvlJc w:val="left"/>
      <w:pPr>
        <w:ind w:left="360" w:firstLine="0"/>
      </w:pPr>
      <w:rPr>
        <w:rFonts w:ascii="Arial" w:eastAsia="Arial" w:hAnsi="Arial" w:cs="Arial"/>
        <w:b/>
        <w:bCs/>
        <w:sz w:val="22"/>
        <w:szCs w:val="22"/>
      </w:rPr>
    </w:lvl>
    <w:lvl w:ilvl="1">
      <w:numFmt w:val="bullet"/>
      <w:lvlText w:val="•"/>
      <w:lvlJc w:val="left"/>
      <w:pPr>
        <w:ind w:left="1080" w:firstLine="0"/>
      </w:pPr>
      <w:rPr>
        <w:rFonts w:ascii="Arial" w:eastAsia="Arial" w:hAnsi="Arial" w:cs="Arial"/>
      </w:rPr>
    </w:lvl>
    <w:lvl w:ilvl="2">
      <w:numFmt w:val="bullet"/>
      <w:lvlText w:val="•"/>
      <w:lvlJc w:val="left"/>
      <w:pPr>
        <w:ind w:left="1980" w:firstLine="0"/>
      </w:pPr>
      <w:rPr>
        <w:rFonts w:ascii="Arial" w:eastAsia="Arial" w:hAnsi="Arial" w:cs="Arial"/>
      </w:rPr>
    </w:lvl>
    <w:lvl w:ilvl="3">
      <w:numFmt w:val="bullet"/>
      <w:lvlText w:val="•"/>
      <w:lvlJc w:val="left"/>
      <w:pPr>
        <w:ind w:left="2520" w:firstLine="0"/>
      </w:pPr>
      <w:rPr>
        <w:rFonts w:ascii="Arial" w:eastAsia="Arial" w:hAnsi="Arial" w:cs="Arial"/>
      </w:rPr>
    </w:lvl>
    <w:lvl w:ilvl="4">
      <w:numFmt w:val="bullet"/>
      <w:lvlText w:val="•"/>
      <w:lvlJc w:val="left"/>
      <w:pPr>
        <w:ind w:left="3240" w:firstLine="0"/>
      </w:pPr>
      <w:rPr>
        <w:rFonts w:ascii="Arial" w:eastAsia="Arial" w:hAnsi="Arial" w:cs="Arial"/>
      </w:rPr>
    </w:lvl>
    <w:lvl w:ilvl="5">
      <w:numFmt w:val="bullet"/>
      <w:lvlText w:val="•"/>
      <w:lvlJc w:val="left"/>
      <w:pPr>
        <w:ind w:left="4140" w:firstLine="0"/>
      </w:pPr>
      <w:rPr>
        <w:rFonts w:ascii="Arial" w:eastAsia="Arial" w:hAnsi="Arial" w:cs="Arial"/>
      </w:rPr>
    </w:lvl>
    <w:lvl w:ilvl="6">
      <w:numFmt w:val="bullet"/>
      <w:lvlText w:val="•"/>
      <w:lvlJc w:val="left"/>
      <w:pPr>
        <w:ind w:left="4680" w:firstLine="0"/>
      </w:pPr>
      <w:rPr>
        <w:rFonts w:ascii="Arial" w:eastAsia="Arial" w:hAnsi="Arial" w:cs="Arial"/>
      </w:rPr>
    </w:lvl>
    <w:lvl w:ilvl="7">
      <w:numFmt w:val="bullet"/>
      <w:lvlText w:val="•"/>
      <w:lvlJc w:val="left"/>
      <w:pPr>
        <w:ind w:left="5400" w:firstLine="0"/>
      </w:pPr>
      <w:rPr>
        <w:rFonts w:ascii="Arial" w:eastAsia="Arial" w:hAnsi="Arial" w:cs="Arial"/>
      </w:rPr>
    </w:lvl>
    <w:lvl w:ilvl="8">
      <w:numFmt w:val="bullet"/>
      <w:lvlText w:val="•"/>
      <w:lvlJc w:val="left"/>
      <w:pPr>
        <w:ind w:left="6300" w:firstLine="0"/>
      </w:pPr>
      <w:rPr>
        <w:rFonts w:ascii="Arial" w:eastAsia="Arial" w:hAnsi="Arial" w:cs="Arial"/>
      </w:rPr>
    </w:lvl>
  </w:abstractNum>
  <w:abstractNum w:abstractNumId="6">
    <w:nsid w:val="7D421EC1"/>
    <w:multiLevelType w:val="multilevel"/>
    <w:tmpl w:val="1B7819DE"/>
    <w:styleLink w:val="LS1"/>
    <w:lvl w:ilvl="0">
      <w:start w:val="1"/>
      <w:numFmt w:val="decimal"/>
      <w:lvlText w:val="%1."/>
      <w:lvlJc w:val="left"/>
      <w:pPr>
        <w:ind w:left="360" w:firstLine="0"/>
      </w:pPr>
      <w:rPr>
        <w:rFonts w:ascii="Arial" w:eastAsia="Arial" w:hAnsi="Arial" w:cs="Arial"/>
        <w:b/>
        <w:bCs/>
        <w:color w:val="808080"/>
        <w:sz w:val="22"/>
        <w:szCs w:val="22"/>
      </w:rPr>
    </w:lvl>
    <w:lvl w:ilvl="1">
      <w:numFmt w:val="bullet"/>
      <w:lvlText w:val="•"/>
      <w:lvlJc w:val="left"/>
      <w:pPr>
        <w:ind w:left="1080" w:firstLine="0"/>
      </w:pPr>
      <w:rPr>
        <w:rFonts w:ascii="Arial" w:eastAsia="Arial" w:hAnsi="Arial" w:cs="Arial"/>
      </w:rPr>
    </w:lvl>
    <w:lvl w:ilvl="2">
      <w:numFmt w:val="bullet"/>
      <w:lvlText w:val="•"/>
      <w:lvlJc w:val="left"/>
      <w:pPr>
        <w:ind w:left="1980" w:firstLine="0"/>
      </w:pPr>
      <w:rPr>
        <w:rFonts w:ascii="Arial" w:eastAsia="Arial" w:hAnsi="Arial" w:cs="Arial"/>
      </w:rPr>
    </w:lvl>
    <w:lvl w:ilvl="3">
      <w:numFmt w:val="bullet"/>
      <w:lvlText w:val="•"/>
      <w:lvlJc w:val="left"/>
      <w:pPr>
        <w:ind w:left="2520" w:firstLine="0"/>
      </w:pPr>
      <w:rPr>
        <w:rFonts w:ascii="Arial" w:eastAsia="Arial" w:hAnsi="Arial" w:cs="Arial"/>
      </w:rPr>
    </w:lvl>
    <w:lvl w:ilvl="4">
      <w:numFmt w:val="bullet"/>
      <w:lvlText w:val="•"/>
      <w:lvlJc w:val="left"/>
      <w:pPr>
        <w:ind w:left="3240" w:firstLine="0"/>
      </w:pPr>
      <w:rPr>
        <w:rFonts w:ascii="Arial" w:eastAsia="Arial" w:hAnsi="Arial" w:cs="Arial"/>
      </w:rPr>
    </w:lvl>
    <w:lvl w:ilvl="5">
      <w:numFmt w:val="bullet"/>
      <w:lvlText w:val="•"/>
      <w:lvlJc w:val="left"/>
      <w:pPr>
        <w:ind w:left="4140" w:firstLine="0"/>
      </w:pPr>
      <w:rPr>
        <w:rFonts w:ascii="Arial" w:eastAsia="Arial" w:hAnsi="Arial" w:cs="Arial"/>
      </w:rPr>
    </w:lvl>
    <w:lvl w:ilvl="6">
      <w:numFmt w:val="bullet"/>
      <w:lvlText w:val="•"/>
      <w:lvlJc w:val="left"/>
      <w:pPr>
        <w:ind w:left="4680" w:firstLine="0"/>
      </w:pPr>
      <w:rPr>
        <w:rFonts w:ascii="Arial" w:eastAsia="Arial" w:hAnsi="Arial" w:cs="Arial"/>
      </w:rPr>
    </w:lvl>
    <w:lvl w:ilvl="7">
      <w:numFmt w:val="bullet"/>
      <w:lvlText w:val="•"/>
      <w:lvlJc w:val="left"/>
      <w:pPr>
        <w:ind w:left="5400" w:firstLine="0"/>
      </w:pPr>
      <w:rPr>
        <w:rFonts w:ascii="Arial" w:eastAsia="Arial" w:hAnsi="Arial" w:cs="Arial"/>
      </w:rPr>
    </w:lvl>
    <w:lvl w:ilvl="8">
      <w:numFmt w:val="bullet"/>
      <w:lvlText w:val="•"/>
      <w:lvlJc w:val="left"/>
      <w:pPr>
        <w:ind w:left="6300" w:firstLine="0"/>
      </w:pPr>
      <w:rPr>
        <w:rFonts w:ascii="Arial" w:eastAsia="Arial" w:hAnsi="Arial" w:cs="Arial"/>
      </w:rPr>
    </w:lvl>
  </w:abstractNum>
  <w:num w:numId="1">
    <w:abstractNumId w:val="6"/>
  </w:num>
  <w:num w:numId="2">
    <w:abstractNumId w:val="4"/>
    <w:lvlOverride w:ilvl="0">
      <w:lvl w:ilvl="0">
        <w:numFmt w:val="decimal"/>
        <w:lvlText w:val=""/>
        <w:lvlJc w:val="left"/>
      </w:lvl>
    </w:lvlOverride>
    <w:lvlOverride w:ilvl="1">
      <w:lvl w:ilvl="1">
        <w:numFmt w:val="bullet"/>
        <w:lvlText w:val="●"/>
        <w:lvlJc w:val="left"/>
        <w:pPr>
          <w:ind w:left="1080" w:firstLine="0"/>
        </w:pPr>
        <w:rPr>
          <w:rFonts w:ascii="Arial" w:eastAsia="Arial" w:hAnsi="Arial" w:cs="Arial"/>
          <w:sz w:val="22"/>
          <w:szCs w:val="22"/>
        </w:rPr>
      </w:lvl>
    </w:lvlOverride>
    <w:lvlOverride w:ilvl="2">
      <w:lvl w:ilvl="2">
        <w:numFmt w:val="bullet"/>
        <w:lvlText w:val="•"/>
        <w:lvlJc w:val="left"/>
        <w:pPr>
          <w:ind w:left="1980" w:firstLine="0"/>
        </w:pPr>
        <w:rPr>
          <w:rFonts w:ascii="Arial" w:eastAsia="Arial" w:hAnsi="Arial" w:cs="Arial"/>
        </w:rPr>
      </w:lvl>
    </w:lvlOverride>
  </w:num>
  <w:num w:numId="3">
    <w:abstractNumId w:val="5"/>
  </w:num>
  <w:num w:numId="4">
    <w:abstractNumId w:val="0"/>
  </w:num>
  <w:num w:numId="5">
    <w:abstractNumId w:val="2"/>
  </w:num>
  <w:num w:numId="6">
    <w:abstractNumId w:val="6"/>
    <w:lvlOverride w:ilvl="0">
      <w:startOverride w:val="1"/>
    </w:lvlOverride>
  </w:num>
  <w:num w:numId="7">
    <w:abstractNumId w:val="6"/>
  </w:num>
  <w:num w:numId="8">
    <w:abstractNumId w:val="6"/>
  </w:num>
  <w:num w:numId="9">
    <w:abstractNumId w:val="6"/>
  </w:num>
  <w:num w:numId="10">
    <w:abstractNumId w:val="6"/>
  </w:num>
  <w:num w:numId="11">
    <w:abstractNumId w:val="6"/>
  </w:num>
  <w:num w:numId="12">
    <w:abstractNumId w:val="6"/>
  </w:num>
  <w:num w:numId="13">
    <w:abstractNumId w:val="4"/>
    <w:lvlOverride w:ilvl="0">
      <w:startOverride w:val="1"/>
    </w:lvlOverride>
  </w:num>
  <w:num w:numId="14">
    <w:abstractNumId w:val="4"/>
    <w:lvlOverride w:ilvl="0">
      <w:startOverride w:val="1"/>
    </w:lvlOverride>
  </w:num>
  <w:num w:numId="15">
    <w:abstractNumId w:val="5"/>
    <w:lvlOverride w:ilvl="0">
      <w:startOverride w:val="1"/>
    </w:lvlOverride>
  </w:num>
  <w:num w:numId="16">
    <w:abstractNumId w:val="5"/>
    <w:lvlOverride w:ilvl="0">
      <w:startOverride w:val="1"/>
    </w:lvlOverride>
  </w:num>
  <w:num w:numId="17">
    <w:abstractNumId w:val="5"/>
    <w:lvlOverride w:ilvl="0">
      <w:startOverride w:val="1"/>
    </w:lvlOverride>
  </w:num>
  <w:num w:numId="18">
    <w:abstractNumId w:val="5"/>
    <w:lvlOverride w:ilvl="0">
      <w:startOverride w:val="1"/>
    </w:lvlOverride>
  </w:num>
  <w:num w:numId="19">
    <w:abstractNumId w:val="0"/>
  </w:num>
  <w:num w:numId="20">
    <w:abstractNumId w:val="0"/>
  </w:num>
  <w:num w:numId="21">
    <w:abstractNumId w:val="0"/>
  </w:num>
  <w:num w:numId="22">
    <w:abstractNumId w:val="0"/>
  </w:num>
  <w:num w:numId="23">
    <w:abstractNumId w:val="2"/>
  </w:num>
  <w:num w:numId="24">
    <w:abstractNumId w:val="3"/>
  </w:num>
  <w:num w:numId="25">
    <w:abstractNumId w:val="1"/>
  </w:num>
  <w:num w:numId="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proofState w:spelling="clean" w:grammar="clean"/>
  <w:defaultTabStop w:val="720"/>
  <w:autoHyphenation/>
  <w:drawingGridHorizontalSpacing w:val="100"/>
  <w:displayHorizontalDrawingGridEvery w:val="2"/>
  <w:characterSpacingControl w:val="doNotCompress"/>
  <w:hdrShapeDefaults>
    <o:shapedefaults v:ext="edit" spidmax="11265">
      <o:colormenu v:ext="edit" fillcolor="non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0B52"/>
    <w:rsid w:val="00011BE5"/>
    <w:rsid w:val="000A4055"/>
    <w:rsid w:val="000D448E"/>
    <w:rsid w:val="000F6D3B"/>
    <w:rsid w:val="0015390C"/>
    <w:rsid w:val="001F7979"/>
    <w:rsid w:val="002235C4"/>
    <w:rsid w:val="003103A7"/>
    <w:rsid w:val="003258FA"/>
    <w:rsid w:val="003F05E0"/>
    <w:rsid w:val="004271FF"/>
    <w:rsid w:val="004722B0"/>
    <w:rsid w:val="005B258C"/>
    <w:rsid w:val="005C38DE"/>
    <w:rsid w:val="006905CE"/>
    <w:rsid w:val="006F2618"/>
    <w:rsid w:val="0071453A"/>
    <w:rsid w:val="007C0887"/>
    <w:rsid w:val="007E7D5D"/>
    <w:rsid w:val="00887246"/>
    <w:rsid w:val="008F49C0"/>
    <w:rsid w:val="00A038CC"/>
    <w:rsid w:val="00A217AA"/>
    <w:rsid w:val="00B60B52"/>
    <w:rsid w:val="00B84DDD"/>
    <w:rsid w:val="00B93171"/>
    <w:rsid w:val="00B97A29"/>
    <w:rsid w:val="00D259FF"/>
    <w:rsid w:val="00D41A29"/>
    <w:rsid w:val="00D96993"/>
    <w:rsid w:val="00DF7E71"/>
    <w:rsid w:val="00E81ADD"/>
    <w:rsid w:val="00E95ADD"/>
    <w:rsid w:val="00EB0645"/>
    <w:rsid w:val="00F355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1265">
      <o:colormenu v:ext="edit" fillcolor="none"/>
    </o:shapedefaults>
    <o:shapelayout v:ext="edit">
      <o:idmap v:ext="edit" data="1"/>
    </o:shapelayout>
  </w:shapeDefaults>
  <w:decimalSymbol w:val="."/>
  <w:listSeparator w:val=","/>
  <w15:docId w15:val="{481338F8-31CD-4F6B-88FE-328A6C2180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kern w:val="3"/>
        <w:lang w:val="en-GB" w:eastAsia="en-GB" w:bidi="ar-SA"/>
      </w:rPr>
    </w:rPrDefault>
    <w:pPrDefault>
      <w:pPr>
        <w:suppressAutoHyphens/>
        <w:overflowPunct w:val="0"/>
        <w:autoSpaceDE w:val="0"/>
        <w:autoSpaceDN w:val="0"/>
        <w:textAlignment w:val="baseline"/>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4055"/>
  </w:style>
  <w:style w:type="paragraph" w:styleId="Heading1">
    <w:name w:val="heading 1"/>
    <w:basedOn w:val="Standard"/>
    <w:rsid w:val="00B60B52"/>
    <w:pPr>
      <w:keepNext/>
      <w:keepLines/>
      <w:ind w:left="1918" w:hanging="536"/>
      <w:outlineLvl w:val="0"/>
    </w:pPr>
    <w:rPr>
      <w:rFonts w:ascii="Arial" w:eastAsia="Arial" w:hAnsi="Arial" w:cs="Arial"/>
      <w:b/>
      <w:bCs/>
      <w:sz w:val="48"/>
      <w:szCs w:val="48"/>
    </w:rPr>
  </w:style>
  <w:style w:type="paragraph" w:styleId="Heading2">
    <w:name w:val="heading 2"/>
    <w:basedOn w:val="Standard"/>
    <w:rsid w:val="00B60B52"/>
    <w:pPr>
      <w:keepNext/>
      <w:keepLines/>
      <w:ind w:left="1382"/>
      <w:outlineLvl w:val="1"/>
    </w:pPr>
    <w:rPr>
      <w:rFonts w:ascii="Arial" w:eastAsia="Arial" w:hAnsi="Arial" w:cs="Arial"/>
      <w:b/>
      <w:bCs/>
    </w:rPr>
  </w:style>
  <w:style w:type="paragraph" w:styleId="Heading3">
    <w:name w:val="heading 3"/>
    <w:basedOn w:val="Standard"/>
    <w:rsid w:val="00B60B52"/>
    <w:pPr>
      <w:keepNext/>
      <w:keepLines/>
      <w:spacing w:before="280" w:after="80"/>
      <w:outlineLvl w:val="2"/>
    </w:pPr>
    <w:rPr>
      <w:b/>
      <w:bCs/>
      <w:sz w:val="28"/>
      <w:szCs w:val="28"/>
    </w:rPr>
  </w:style>
  <w:style w:type="paragraph" w:styleId="Heading4">
    <w:name w:val="heading 4"/>
    <w:basedOn w:val="Standard"/>
    <w:rsid w:val="00B60B52"/>
    <w:pPr>
      <w:keepNext/>
      <w:keepLines/>
      <w:spacing w:before="240" w:after="40"/>
      <w:outlineLvl w:val="3"/>
    </w:pPr>
    <w:rPr>
      <w:b/>
      <w:bCs/>
      <w:sz w:val="24"/>
      <w:szCs w:val="24"/>
    </w:rPr>
  </w:style>
  <w:style w:type="paragraph" w:styleId="Heading5">
    <w:name w:val="heading 5"/>
    <w:basedOn w:val="Standard"/>
    <w:rsid w:val="00B60B52"/>
    <w:pPr>
      <w:keepNext/>
      <w:keepLines/>
      <w:spacing w:before="220" w:after="40"/>
      <w:outlineLvl w:val="4"/>
    </w:pPr>
    <w:rPr>
      <w:b/>
      <w:bCs/>
    </w:rPr>
  </w:style>
  <w:style w:type="paragraph" w:styleId="Heading6">
    <w:name w:val="heading 6"/>
    <w:basedOn w:val="Standard"/>
    <w:rsid w:val="00B60B52"/>
    <w:pPr>
      <w:keepNext/>
      <w:keepLines/>
      <w:spacing w:before="200" w:after="40"/>
      <w:outlineLvl w:val="5"/>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B60B52"/>
    <w:rPr>
      <w:rFonts w:ascii="Calibri" w:eastAsia="Calibri" w:hAnsi="Calibri" w:cs="Calibri"/>
      <w:color w:val="000000"/>
      <w:sz w:val="22"/>
      <w:szCs w:val="22"/>
    </w:rPr>
  </w:style>
  <w:style w:type="paragraph" w:customStyle="1" w:styleId="NoList1">
    <w:name w:val="No List1"/>
    <w:rsid w:val="00B60B52"/>
  </w:style>
  <w:style w:type="paragraph" w:styleId="Title">
    <w:name w:val="Title"/>
    <w:basedOn w:val="Standard"/>
    <w:rsid w:val="00B60B52"/>
    <w:pPr>
      <w:keepNext/>
      <w:keepLines/>
      <w:spacing w:before="480" w:after="120"/>
    </w:pPr>
    <w:rPr>
      <w:b/>
      <w:bCs/>
      <w:sz w:val="72"/>
      <w:szCs w:val="72"/>
    </w:rPr>
  </w:style>
  <w:style w:type="paragraph" w:styleId="Subtitle">
    <w:name w:val="Subtitle"/>
    <w:basedOn w:val="Standard"/>
    <w:rsid w:val="00B60B52"/>
    <w:pPr>
      <w:keepNext/>
      <w:keepLines/>
      <w:spacing w:before="360" w:after="80"/>
    </w:pPr>
    <w:rPr>
      <w:rFonts w:ascii="Georgia" w:eastAsia="Georgia" w:hAnsi="Georgia" w:cs="Georgia"/>
      <w:i/>
      <w:iCs/>
      <w:color w:val="666666"/>
      <w:sz w:val="48"/>
      <w:szCs w:val="48"/>
    </w:rPr>
  </w:style>
  <w:style w:type="character" w:customStyle="1" w:styleId="List1Level0">
    <w:name w:val="List1Level0"/>
    <w:rsid w:val="00B60B52"/>
    <w:rPr>
      <w:rFonts w:ascii="Arial" w:eastAsia="Arial" w:hAnsi="Arial" w:cs="Arial"/>
      <w:b/>
      <w:bCs/>
      <w:color w:val="808080"/>
      <w:sz w:val="22"/>
      <w:szCs w:val="22"/>
    </w:rPr>
  </w:style>
  <w:style w:type="character" w:customStyle="1" w:styleId="List1Level1">
    <w:name w:val="List1Level1"/>
    <w:rsid w:val="00B60B52"/>
    <w:rPr>
      <w:rFonts w:ascii="Arial" w:eastAsia="Arial" w:hAnsi="Arial" w:cs="Arial"/>
    </w:rPr>
  </w:style>
  <w:style w:type="character" w:customStyle="1" w:styleId="List1Level2">
    <w:name w:val="List1Level2"/>
    <w:rsid w:val="00B60B52"/>
    <w:rPr>
      <w:rFonts w:ascii="Arial" w:eastAsia="Arial" w:hAnsi="Arial" w:cs="Arial"/>
    </w:rPr>
  </w:style>
  <w:style w:type="character" w:customStyle="1" w:styleId="List1Level3">
    <w:name w:val="List1Level3"/>
    <w:rsid w:val="00B60B52"/>
    <w:rPr>
      <w:rFonts w:ascii="Arial" w:eastAsia="Arial" w:hAnsi="Arial" w:cs="Arial"/>
    </w:rPr>
  </w:style>
  <w:style w:type="character" w:customStyle="1" w:styleId="List1Level4">
    <w:name w:val="List1Level4"/>
    <w:rsid w:val="00B60B52"/>
    <w:rPr>
      <w:rFonts w:ascii="Arial" w:eastAsia="Arial" w:hAnsi="Arial" w:cs="Arial"/>
    </w:rPr>
  </w:style>
  <w:style w:type="character" w:customStyle="1" w:styleId="List1Level5">
    <w:name w:val="List1Level5"/>
    <w:rsid w:val="00B60B52"/>
    <w:rPr>
      <w:rFonts w:ascii="Arial" w:eastAsia="Arial" w:hAnsi="Arial" w:cs="Arial"/>
    </w:rPr>
  </w:style>
  <w:style w:type="character" w:customStyle="1" w:styleId="List1Level6">
    <w:name w:val="List1Level6"/>
    <w:rsid w:val="00B60B52"/>
    <w:rPr>
      <w:rFonts w:ascii="Arial" w:eastAsia="Arial" w:hAnsi="Arial" w:cs="Arial"/>
    </w:rPr>
  </w:style>
  <w:style w:type="character" w:customStyle="1" w:styleId="List1Level7">
    <w:name w:val="List1Level7"/>
    <w:rsid w:val="00B60B52"/>
    <w:rPr>
      <w:rFonts w:ascii="Arial" w:eastAsia="Arial" w:hAnsi="Arial" w:cs="Arial"/>
    </w:rPr>
  </w:style>
  <w:style w:type="character" w:customStyle="1" w:styleId="List1Level8">
    <w:name w:val="List1Level8"/>
    <w:rsid w:val="00B60B52"/>
    <w:rPr>
      <w:rFonts w:ascii="Arial" w:eastAsia="Arial" w:hAnsi="Arial" w:cs="Arial"/>
    </w:rPr>
  </w:style>
  <w:style w:type="character" w:customStyle="1" w:styleId="List2Level0">
    <w:name w:val="List2Level0"/>
    <w:rsid w:val="00B60B52"/>
    <w:rPr>
      <w:rFonts w:ascii="Arial" w:eastAsia="Arial" w:hAnsi="Arial" w:cs="Arial"/>
      <w:b/>
      <w:bCs/>
      <w:color w:val="808080"/>
      <w:sz w:val="48"/>
      <w:szCs w:val="48"/>
    </w:rPr>
  </w:style>
  <w:style w:type="character" w:customStyle="1" w:styleId="List2Level1">
    <w:name w:val="List2Level1"/>
    <w:rsid w:val="00B60B52"/>
    <w:rPr>
      <w:rFonts w:ascii="Arial" w:eastAsia="Arial" w:hAnsi="Arial" w:cs="Arial"/>
      <w:sz w:val="22"/>
      <w:szCs w:val="22"/>
    </w:rPr>
  </w:style>
  <w:style w:type="character" w:customStyle="1" w:styleId="List2Level2">
    <w:name w:val="List2Level2"/>
    <w:rsid w:val="00B60B52"/>
    <w:rPr>
      <w:rFonts w:ascii="Arial" w:eastAsia="Arial" w:hAnsi="Arial" w:cs="Arial"/>
    </w:rPr>
  </w:style>
  <w:style w:type="character" w:customStyle="1" w:styleId="List2Level3">
    <w:name w:val="List2Level3"/>
    <w:rsid w:val="00B60B52"/>
    <w:rPr>
      <w:rFonts w:ascii="Arial" w:eastAsia="Arial" w:hAnsi="Arial" w:cs="Arial"/>
    </w:rPr>
  </w:style>
  <w:style w:type="character" w:customStyle="1" w:styleId="List2Level4">
    <w:name w:val="List2Level4"/>
    <w:rsid w:val="00B60B52"/>
    <w:rPr>
      <w:rFonts w:ascii="Arial" w:eastAsia="Arial" w:hAnsi="Arial" w:cs="Arial"/>
    </w:rPr>
  </w:style>
  <w:style w:type="character" w:customStyle="1" w:styleId="List2Level5">
    <w:name w:val="List2Level5"/>
    <w:rsid w:val="00B60B52"/>
    <w:rPr>
      <w:rFonts w:ascii="Arial" w:eastAsia="Arial" w:hAnsi="Arial" w:cs="Arial"/>
    </w:rPr>
  </w:style>
  <w:style w:type="character" w:customStyle="1" w:styleId="List2Level6">
    <w:name w:val="List2Level6"/>
    <w:rsid w:val="00B60B52"/>
    <w:rPr>
      <w:rFonts w:ascii="Arial" w:eastAsia="Arial" w:hAnsi="Arial" w:cs="Arial"/>
    </w:rPr>
  </w:style>
  <w:style w:type="character" w:customStyle="1" w:styleId="List2Level7">
    <w:name w:val="List2Level7"/>
    <w:rsid w:val="00B60B52"/>
    <w:rPr>
      <w:rFonts w:ascii="Arial" w:eastAsia="Arial" w:hAnsi="Arial" w:cs="Arial"/>
    </w:rPr>
  </w:style>
  <w:style w:type="character" w:customStyle="1" w:styleId="List2Level8">
    <w:name w:val="List2Level8"/>
    <w:rsid w:val="00B60B52"/>
    <w:rPr>
      <w:rFonts w:ascii="Arial" w:eastAsia="Arial" w:hAnsi="Arial" w:cs="Arial"/>
    </w:rPr>
  </w:style>
  <w:style w:type="character" w:customStyle="1" w:styleId="List3Level0">
    <w:name w:val="List3Level0"/>
    <w:rsid w:val="00B60B52"/>
    <w:rPr>
      <w:rFonts w:ascii="Arial" w:eastAsia="Arial" w:hAnsi="Arial" w:cs="Arial"/>
      <w:b/>
      <w:bCs/>
      <w:sz w:val="22"/>
      <w:szCs w:val="22"/>
    </w:rPr>
  </w:style>
  <w:style w:type="character" w:customStyle="1" w:styleId="List3Level1">
    <w:name w:val="List3Level1"/>
    <w:rsid w:val="00B60B52"/>
    <w:rPr>
      <w:rFonts w:ascii="Arial" w:eastAsia="Arial" w:hAnsi="Arial" w:cs="Arial"/>
    </w:rPr>
  </w:style>
  <w:style w:type="character" w:customStyle="1" w:styleId="List3Level2">
    <w:name w:val="List3Level2"/>
    <w:rsid w:val="00B60B52"/>
    <w:rPr>
      <w:rFonts w:ascii="Arial" w:eastAsia="Arial" w:hAnsi="Arial" w:cs="Arial"/>
    </w:rPr>
  </w:style>
  <w:style w:type="character" w:customStyle="1" w:styleId="List3Level3">
    <w:name w:val="List3Level3"/>
    <w:rsid w:val="00B60B52"/>
    <w:rPr>
      <w:rFonts w:ascii="Arial" w:eastAsia="Arial" w:hAnsi="Arial" w:cs="Arial"/>
    </w:rPr>
  </w:style>
  <w:style w:type="character" w:customStyle="1" w:styleId="List3Level4">
    <w:name w:val="List3Level4"/>
    <w:rsid w:val="00B60B52"/>
    <w:rPr>
      <w:rFonts w:ascii="Arial" w:eastAsia="Arial" w:hAnsi="Arial" w:cs="Arial"/>
    </w:rPr>
  </w:style>
  <w:style w:type="character" w:customStyle="1" w:styleId="List3Level5">
    <w:name w:val="List3Level5"/>
    <w:rsid w:val="00B60B52"/>
    <w:rPr>
      <w:rFonts w:ascii="Arial" w:eastAsia="Arial" w:hAnsi="Arial" w:cs="Arial"/>
    </w:rPr>
  </w:style>
  <w:style w:type="character" w:customStyle="1" w:styleId="List3Level6">
    <w:name w:val="List3Level6"/>
    <w:rsid w:val="00B60B52"/>
    <w:rPr>
      <w:rFonts w:ascii="Arial" w:eastAsia="Arial" w:hAnsi="Arial" w:cs="Arial"/>
    </w:rPr>
  </w:style>
  <w:style w:type="character" w:customStyle="1" w:styleId="List3Level7">
    <w:name w:val="List3Level7"/>
    <w:rsid w:val="00B60B52"/>
    <w:rPr>
      <w:rFonts w:ascii="Arial" w:eastAsia="Arial" w:hAnsi="Arial" w:cs="Arial"/>
    </w:rPr>
  </w:style>
  <w:style w:type="character" w:customStyle="1" w:styleId="List3Level8">
    <w:name w:val="List3Level8"/>
    <w:rsid w:val="00B60B52"/>
    <w:rPr>
      <w:rFonts w:ascii="Arial" w:eastAsia="Arial" w:hAnsi="Arial" w:cs="Arial"/>
    </w:rPr>
  </w:style>
  <w:style w:type="character" w:customStyle="1" w:styleId="List4Level0">
    <w:name w:val="List4Level0"/>
    <w:rsid w:val="00B60B52"/>
    <w:rPr>
      <w:rFonts w:ascii="Arial" w:eastAsia="Arial" w:hAnsi="Arial" w:cs="Arial"/>
    </w:rPr>
  </w:style>
  <w:style w:type="character" w:customStyle="1" w:styleId="List4Level1">
    <w:name w:val="List4Level1"/>
    <w:rsid w:val="00B60B52"/>
    <w:rPr>
      <w:rFonts w:ascii="Arial" w:eastAsia="Arial" w:hAnsi="Arial" w:cs="Arial"/>
    </w:rPr>
  </w:style>
  <w:style w:type="character" w:customStyle="1" w:styleId="List4Level2">
    <w:name w:val="List4Level2"/>
    <w:rsid w:val="00B60B52"/>
    <w:rPr>
      <w:rFonts w:ascii="Arial" w:eastAsia="Arial" w:hAnsi="Arial" w:cs="Arial"/>
    </w:rPr>
  </w:style>
  <w:style w:type="character" w:customStyle="1" w:styleId="List4Level3">
    <w:name w:val="List4Level3"/>
    <w:rsid w:val="00B60B52"/>
    <w:rPr>
      <w:rFonts w:ascii="Arial" w:eastAsia="Arial" w:hAnsi="Arial" w:cs="Arial"/>
    </w:rPr>
  </w:style>
  <w:style w:type="character" w:customStyle="1" w:styleId="List4Level4">
    <w:name w:val="List4Level4"/>
    <w:rsid w:val="00B60B52"/>
    <w:rPr>
      <w:rFonts w:ascii="Arial" w:eastAsia="Arial" w:hAnsi="Arial" w:cs="Arial"/>
    </w:rPr>
  </w:style>
  <w:style w:type="character" w:customStyle="1" w:styleId="List4Level5">
    <w:name w:val="List4Level5"/>
    <w:rsid w:val="00B60B52"/>
    <w:rPr>
      <w:rFonts w:ascii="Arial" w:eastAsia="Arial" w:hAnsi="Arial" w:cs="Arial"/>
    </w:rPr>
  </w:style>
  <w:style w:type="character" w:customStyle="1" w:styleId="List4Level6">
    <w:name w:val="List4Level6"/>
    <w:rsid w:val="00B60B52"/>
    <w:rPr>
      <w:rFonts w:ascii="Arial" w:eastAsia="Arial" w:hAnsi="Arial" w:cs="Arial"/>
    </w:rPr>
  </w:style>
  <w:style w:type="character" w:customStyle="1" w:styleId="List4Level7">
    <w:name w:val="List4Level7"/>
    <w:rsid w:val="00B60B52"/>
    <w:rPr>
      <w:rFonts w:ascii="Arial" w:eastAsia="Arial" w:hAnsi="Arial" w:cs="Arial"/>
    </w:rPr>
  </w:style>
  <w:style w:type="character" w:customStyle="1" w:styleId="List4Level8">
    <w:name w:val="List4Level8"/>
    <w:rsid w:val="00B60B52"/>
    <w:rPr>
      <w:rFonts w:ascii="Arial" w:eastAsia="Arial" w:hAnsi="Arial" w:cs="Arial"/>
    </w:rPr>
  </w:style>
  <w:style w:type="character" w:customStyle="1" w:styleId="List5Level0">
    <w:name w:val="List5Level0"/>
    <w:rsid w:val="00B60B52"/>
    <w:rPr>
      <w:rFonts w:ascii="Arial" w:eastAsia="Arial" w:hAnsi="Arial" w:cs="Arial"/>
      <w:color w:val="222222"/>
      <w:sz w:val="18"/>
      <w:szCs w:val="18"/>
      <w:u w:val="none"/>
      <w:shd w:val="clear" w:color="auto" w:fill="FFFFFF"/>
    </w:rPr>
  </w:style>
  <w:style w:type="character" w:customStyle="1" w:styleId="List5Level1">
    <w:name w:val="List5Level1"/>
    <w:rsid w:val="00B60B52"/>
    <w:rPr>
      <w:u w:val="none"/>
    </w:rPr>
  </w:style>
  <w:style w:type="character" w:customStyle="1" w:styleId="List5Level2">
    <w:name w:val="List5Level2"/>
    <w:rsid w:val="00B60B52"/>
    <w:rPr>
      <w:u w:val="none"/>
    </w:rPr>
  </w:style>
  <w:style w:type="character" w:customStyle="1" w:styleId="List5Level3">
    <w:name w:val="List5Level3"/>
    <w:rsid w:val="00B60B52"/>
    <w:rPr>
      <w:u w:val="none"/>
    </w:rPr>
  </w:style>
  <w:style w:type="character" w:customStyle="1" w:styleId="List5Level4">
    <w:name w:val="List5Level4"/>
    <w:rsid w:val="00B60B52"/>
    <w:rPr>
      <w:u w:val="none"/>
    </w:rPr>
  </w:style>
  <w:style w:type="character" w:customStyle="1" w:styleId="List5Level5">
    <w:name w:val="List5Level5"/>
    <w:rsid w:val="00B60B52"/>
    <w:rPr>
      <w:u w:val="none"/>
    </w:rPr>
  </w:style>
  <w:style w:type="character" w:customStyle="1" w:styleId="List5Level6">
    <w:name w:val="List5Level6"/>
    <w:rsid w:val="00B60B52"/>
    <w:rPr>
      <w:u w:val="none"/>
    </w:rPr>
  </w:style>
  <w:style w:type="character" w:customStyle="1" w:styleId="List5Level7">
    <w:name w:val="List5Level7"/>
    <w:rsid w:val="00B60B52"/>
    <w:rPr>
      <w:u w:val="none"/>
    </w:rPr>
  </w:style>
  <w:style w:type="character" w:customStyle="1" w:styleId="List5Level8">
    <w:name w:val="List5Level8"/>
    <w:rsid w:val="00B60B52"/>
    <w:rPr>
      <w:u w:val="none"/>
    </w:rPr>
  </w:style>
  <w:style w:type="numbering" w:customStyle="1" w:styleId="LS1">
    <w:name w:val="LS1"/>
    <w:basedOn w:val="NoList"/>
    <w:rsid w:val="00B60B52"/>
    <w:pPr>
      <w:numPr>
        <w:numId w:val="1"/>
      </w:numPr>
    </w:pPr>
  </w:style>
  <w:style w:type="numbering" w:customStyle="1" w:styleId="LS2">
    <w:name w:val="LS2"/>
    <w:basedOn w:val="NoList"/>
    <w:rsid w:val="00B60B52"/>
    <w:pPr>
      <w:numPr>
        <w:numId w:val="26"/>
      </w:numPr>
    </w:pPr>
  </w:style>
  <w:style w:type="numbering" w:customStyle="1" w:styleId="LS3">
    <w:name w:val="LS3"/>
    <w:basedOn w:val="NoList"/>
    <w:rsid w:val="00B60B52"/>
    <w:pPr>
      <w:numPr>
        <w:numId w:val="3"/>
      </w:numPr>
    </w:pPr>
  </w:style>
  <w:style w:type="numbering" w:customStyle="1" w:styleId="LS4">
    <w:name w:val="LS4"/>
    <w:basedOn w:val="NoList"/>
    <w:rsid w:val="00B60B52"/>
    <w:pPr>
      <w:numPr>
        <w:numId w:val="4"/>
      </w:numPr>
    </w:pPr>
  </w:style>
  <w:style w:type="numbering" w:customStyle="1" w:styleId="LS5">
    <w:name w:val="LS5"/>
    <w:basedOn w:val="NoList"/>
    <w:rsid w:val="00B60B52"/>
    <w:pPr>
      <w:numPr>
        <w:numId w:val="5"/>
      </w:numPr>
    </w:pPr>
  </w:style>
  <w:style w:type="paragraph" w:styleId="Footer">
    <w:name w:val="footer"/>
    <w:basedOn w:val="Normal"/>
    <w:link w:val="FooterChar"/>
    <w:uiPriority w:val="99"/>
    <w:semiHidden/>
    <w:unhideWhenUsed/>
    <w:rsid w:val="00B60B52"/>
    <w:pPr>
      <w:tabs>
        <w:tab w:val="center" w:pos="4513"/>
        <w:tab w:val="right" w:pos="9026"/>
      </w:tabs>
    </w:pPr>
  </w:style>
  <w:style w:type="character" w:customStyle="1" w:styleId="FooterChar">
    <w:name w:val="Footer Char"/>
    <w:basedOn w:val="DefaultParagraphFont"/>
    <w:link w:val="Footer"/>
    <w:uiPriority w:val="99"/>
    <w:semiHidden/>
    <w:rsid w:val="00B60B52"/>
  </w:style>
  <w:style w:type="paragraph" w:styleId="BalloonText">
    <w:name w:val="Balloon Text"/>
    <w:basedOn w:val="Normal"/>
    <w:link w:val="BalloonTextChar"/>
    <w:uiPriority w:val="99"/>
    <w:semiHidden/>
    <w:unhideWhenUsed/>
    <w:rsid w:val="002235C4"/>
    <w:rPr>
      <w:rFonts w:ascii="Tahoma" w:hAnsi="Tahoma" w:cs="Tahoma"/>
      <w:sz w:val="16"/>
      <w:szCs w:val="16"/>
    </w:rPr>
  </w:style>
  <w:style w:type="character" w:customStyle="1" w:styleId="BalloonTextChar">
    <w:name w:val="Balloon Text Char"/>
    <w:basedOn w:val="DefaultParagraphFont"/>
    <w:link w:val="BalloonText"/>
    <w:uiPriority w:val="99"/>
    <w:semiHidden/>
    <w:rsid w:val="002235C4"/>
    <w:rPr>
      <w:rFonts w:ascii="Tahoma" w:hAnsi="Tahoma" w:cs="Tahoma"/>
      <w:sz w:val="16"/>
      <w:szCs w:val="16"/>
    </w:rPr>
  </w:style>
  <w:style w:type="paragraph" w:styleId="Header">
    <w:name w:val="header"/>
    <w:basedOn w:val="Normal"/>
    <w:link w:val="HeaderChar"/>
    <w:uiPriority w:val="99"/>
    <w:semiHidden/>
    <w:unhideWhenUsed/>
    <w:rsid w:val="003103A7"/>
    <w:pPr>
      <w:tabs>
        <w:tab w:val="center" w:pos="4513"/>
        <w:tab w:val="right" w:pos="9026"/>
      </w:tabs>
    </w:pPr>
  </w:style>
  <w:style w:type="character" w:customStyle="1" w:styleId="HeaderChar">
    <w:name w:val="Header Char"/>
    <w:basedOn w:val="DefaultParagraphFont"/>
    <w:link w:val="Header"/>
    <w:uiPriority w:val="99"/>
    <w:semiHidden/>
    <w:rsid w:val="003103A7"/>
  </w:style>
  <w:style w:type="paragraph" w:styleId="ListParagraph">
    <w:name w:val="List Paragraph"/>
    <w:basedOn w:val="Normal"/>
    <w:uiPriority w:val="34"/>
    <w:qFormat/>
    <w:rsid w:val="003258FA"/>
    <w:pPr>
      <w:ind w:left="720"/>
      <w:contextualSpacing/>
    </w:pPr>
  </w:style>
  <w:style w:type="paragraph" w:customStyle="1" w:styleId="TableParagraph">
    <w:name w:val="Table Paragraph"/>
    <w:basedOn w:val="Normal"/>
    <w:uiPriority w:val="1"/>
    <w:qFormat/>
    <w:rsid w:val="000F6D3B"/>
    <w:pPr>
      <w:widowControl w:val="0"/>
      <w:suppressAutoHyphens w:val="0"/>
      <w:overflowPunct/>
      <w:autoSpaceDE/>
      <w:autoSpaceDN/>
      <w:textAlignment w:val="auto"/>
    </w:pPr>
    <w:rPr>
      <w:rFonts w:asciiTheme="minorHAnsi" w:eastAsiaTheme="minorHAnsi" w:hAnsiTheme="minorHAnsi" w:cstheme="minorBidi"/>
      <w:kern w:val="0"/>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258484">
      <w:bodyDiv w:val="1"/>
      <w:marLeft w:val="0"/>
      <w:marRight w:val="0"/>
      <w:marTop w:val="0"/>
      <w:marBottom w:val="0"/>
      <w:divBdr>
        <w:top w:val="none" w:sz="0" w:space="0" w:color="auto"/>
        <w:left w:val="none" w:sz="0" w:space="0" w:color="auto"/>
        <w:bottom w:val="none" w:sz="0" w:space="0" w:color="auto"/>
        <w:right w:val="none" w:sz="0" w:space="0" w:color="auto"/>
      </w:divBdr>
      <w:divsChild>
        <w:div w:id="304360122">
          <w:marLeft w:val="0"/>
          <w:marRight w:val="0"/>
          <w:marTop w:val="0"/>
          <w:marBottom w:val="0"/>
          <w:divBdr>
            <w:top w:val="none" w:sz="0" w:space="0" w:color="auto"/>
            <w:left w:val="none" w:sz="0" w:space="0" w:color="auto"/>
            <w:bottom w:val="none" w:sz="0" w:space="0" w:color="auto"/>
            <w:right w:val="none" w:sz="0" w:space="0" w:color="auto"/>
          </w:divBdr>
        </w:div>
        <w:div w:id="1894585136">
          <w:marLeft w:val="0"/>
          <w:marRight w:val="0"/>
          <w:marTop w:val="0"/>
          <w:marBottom w:val="0"/>
          <w:divBdr>
            <w:top w:val="none" w:sz="0" w:space="0" w:color="auto"/>
            <w:left w:val="none" w:sz="0" w:space="0" w:color="auto"/>
            <w:bottom w:val="none" w:sz="0" w:space="0" w:color="auto"/>
            <w:right w:val="none" w:sz="0" w:space="0" w:color="auto"/>
          </w:divBdr>
        </w:div>
        <w:div w:id="566570454">
          <w:marLeft w:val="0"/>
          <w:marRight w:val="0"/>
          <w:marTop w:val="0"/>
          <w:marBottom w:val="0"/>
          <w:divBdr>
            <w:top w:val="none" w:sz="0" w:space="0" w:color="auto"/>
            <w:left w:val="none" w:sz="0" w:space="0" w:color="auto"/>
            <w:bottom w:val="none" w:sz="0" w:space="0" w:color="auto"/>
            <w:right w:val="none" w:sz="0" w:space="0" w:color="auto"/>
          </w:divBdr>
        </w:div>
        <w:div w:id="1157070244">
          <w:marLeft w:val="0"/>
          <w:marRight w:val="0"/>
          <w:marTop w:val="0"/>
          <w:marBottom w:val="0"/>
          <w:divBdr>
            <w:top w:val="none" w:sz="0" w:space="0" w:color="auto"/>
            <w:left w:val="none" w:sz="0" w:space="0" w:color="auto"/>
            <w:bottom w:val="none" w:sz="0" w:space="0" w:color="auto"/>
            <w:right w:val="none" w:sz="0" w:space="0" w:color="auto"/>
          </w:divBdr>
        </w:div>
        <w:div w:id="1167865294">
          <w:marLeft w:val="0"/>
          <w:marRight w:val="0"/>
          <w:marTop w:val="0"/>
          <w:marBottom w:val="0"/>
          <w:divBdr>
            <w:top w:val="none" w:sz="0" w:space="0" w:color="auto"/>
            <w:left w:val="none" w:sz="0" w:space="0" w:color="auto"/>
            <w:bottom w:val="none" w:sz="0" w:space="0" w:color="auto"/>
            <w:right w:val="none" w:sz="0" w:space="0" w:color="auto"/>
          </w:divBdr>
        </w:div>
        <w:div w:id="983007076">
          <w:marLeft w:val="0"/>
          <w:marRight w:val="0"/>
          <w:marTop w:val="0"/>
          <w:marBottom w:val="0"/>
          <w:divBdr>
            <w:top w:val="none" w:sz="0" w:space="0" w:color="auto"/>
            <w:left w:val="none" w:sz="0" w:space="0" w:color="auto"/>
            <w:bottom w:val="none" w:sz="0" w:space="0" w:color="auto"/>
            <w:right w:val="none" w:sz="0" w:space="0" w:color="auto"/>
          </w:divBdr>
        </w:div>
      </w:divsChild>
    </w:div>
    <w:div w:id="67580490">
      <w:bodyDiv w:val="1"/>
      <w:marLeft w:val="0"/>
      <w:marRight w:val="0"/>
      <w:marTop w:val="0"/>
      <w:marBottom w:val="0"/>
      <w:divBdr>
        <w:top w:val="none" w:sz="0" w:space="0" w:color="auto"/>
        <w:left w:val="none" w:sz="0" w:space="0" w:color="auto"/>
        <w:bottom w:val="none" w:sz="0" w:space="0" w:color="auto"/>
        <w:right w:val="none" w:sz="0" w:space="0" w:color="auto"/>
      </w:divBdr>
      <w:divsChild>
        <w:div w:id="2083794082">
          <w:marLeft w:val="0"/>
          <w:marRight w:val="0"/>
          <w:marTop w:val="0"/>
          <w:marBottom w:val="0"/>
          <w:divBdr>
            <w:top w:val="none" w:sz="0" w:space="0" w:color="auto"/>
            <w:left w:val="none" w:sz="0" w:space="0" w:color="auto"/>
            <w:bottom w:val="none" w:sz="0" w:space="0" w:color="auto"/>
            <w:right w:val="none" w:sz="0" w:space="0" w:color="auto"/>
          </w:divBdr>
        </w:div>
      </w:divsChild>
    </w:div>
    <w:div w:id="446856594">
      <w:bodyDiv w:val="1"/>
      <w:marLeft w:val="0"/>
      <w:marRight w:val="0"/>
      <w:marTop w:val="0"/>
      <w:marBottom w:val="0"/>
      <w:divBdr>
        <w:top w:val="none" w:sz="0" w:space="0" w:color="auto"/>
        <w:left w:val="none" w:sz="0" w:space="0" w:color="auto"/>
        <w:bottom w:val="none" w:sz="0" w:space="0" w:color="auto"/>
        <w:right w:val="none" w:sz="0" w:space="0" w:color="auto"/>
      </w:divBdr>
      <w:divsChild>
        <w:div w:id="1660889495">
          <w:marLeft w:val="0"/>
          <w:marRight w:val="0"/>
          <w:marTop w:val="0"/>
          <w:marBottom w:val="0"/>
          <w:divBdr>
            <w:top w:val="none" w:sz="0" w:space="0" w:color="auto"/>
            <w:left w:val="none" w:sz="0" w:space="0" w:color="auto"/>
            <w:bottom w:val="none" w:sz="0" w:space="0" w:color="auto"/>
            <w:right w:val="none" w:sz="0" w:space="0" w:color="auto"/>
          </w:divBdr>
        </w:div>
        <w:div w:id="1526405256">
          <w:marLeft w:val="0"/>
          <w:marRight w:val="0"/>
          <w:marTop w:val="0"/>
          <w:marBottom w:val="0"/>
          <w:divBdr>
            <w:top w:val="none" w:sz="0" w:space="0" w:color="auto"/>
            <w:left w:val="none" w:sz="0" w:space="0" w:color="auto"/>
            <w:bottom w:val="none" w:sz="0" w:space="0" w:color="auto"/>
            <w:right w:val="none" w:sz="0" w:space="0" w:color="auto"/>
          </w:divBdr>
        </w:div>
        <w:div w:id="527959831">
          <w:marLeft w:val="0"/>
          <w:marRight w:val="0"/>
          <w:marTop w:val="0"/>
          <w:marBottom w:val="0"/>
          <w:divBdr>
            <w:top w:val="none" w:sz="0" w:space="0" w:color="auto"/>
            <w:left w:val="none" w:sz="0" w:space="0" w:color="auto"/>
            <w:bottom w:val="none" w:sz="0" w:space="0" w:color="auto"/>
            <w:right w:val="none" w:sz="0" w:space="0" w:color="auto"/>
          </w:divBdr>
        </w:div>
      </w:divsChild>
    </w:div>
    <w:div w:id="1217664987">
      <w:bodyDiv w:val="1"/>
      <w:marLeft w:val="0"/>
      <w:marRight w:val="0"/>
      <w:marTop w:val="0"/>
      <w:marBottom w:val="0"/>
      <w:divBdr>
        <w:top w:val="none" w:sz="0" w:space="0" w:color="auto"/>
        <w:left w:val="none" w:sz="0" w:space="0" w:color="auto"/>
        <w:bottom w:val="none" w:sz="0" w:space="0" w:color="auto"/>
        <w:right w:val="none" w:sz="0" w:space="0" w:color="auto"/>
      </w:divBdr>
      <w:divsChild>
        <w:div w:id="1537545422">
          <w:marLeft w:val="0"/>
          <w:marRight w:val="0"/>
          <w:marTop w:val="0"/>
          <w:marBottom w:val="0"/>
          <w:divBdr>
            <w:top w:val="none" w:sz="0" w:space="0" w:color="auto"/>
            <w:left w:val="none" w:sz="0" w:space="0" w:color="auto"/>
            <w:bottom w:val="none" w:sz="0" w:space="0" w:color="auto"/>
            <w:right w:val="none" w:sz="0" w:space="0" w:color="auto"/>
          </w:divBdr>
        </w:div>
        <w:div w:id="515268172">
          <w:marLeft w:val="0"/>
          <w:marRight w:val="0"/>
          <w:marTop w:val="0"/>
          <w:marBottom w:val="0"/>
          <w:divBdr>
            <w:top w:val="none" w:sz="0" w:space="0" w:color="auto"/>
            <w:left w:val="none" w:sz="0" w:space="0" w:color="auto"/>
            <w:bottom w:val="none" w:sz="0" w:space="0" w:color="auto"/>
            <w:right w:val="none" w:sz="0" w:space="0" w:color="auto"/>
          </w:divBdr>
        </w:div>
        <w:div w:id="930964865">
          <w:marLeft w:val="0"/>
          <w:marRight w:val="0"/>
          <w:marTop w:val="0"/>
          <w:marBottom w:val="0"/>
          <w:divBdr>
            <w:top w:val="none" w:sz="0" w:space="0" w:color="auto"/>
            <w:left w:val="none" w:sz="0" w:space="0" w:color="auto"/>
            <w:bottom w:val="none" w:sz="0" w:space="0" w:color="auto"/>
            <w:right w:val="none" w:sz="0" w:space="0" w:color="auto"/>
          </w:divBdr>
        </w:div>
        <w:div w:id="496654047">
          <w:marLeft w:val="0"/>
          <w:marRight w:val="0"/>
          <w:marTop w:val="0"/>
          <w:marBottom w:val="0"/>
          <w:divBdr>
            <w:top w:val="none" w:sz="0" w:space="0" w:color="auto"/>
            <w:left w:val="none" w:sz="0" w:space="0" w:color="auto"/>
            <w:bottom w:val="none" w:sz="0" w:space="0" w:color="auto"/>
            <w:right w:val="none" w:sz="0" w:space="0" w:color="auto"/>
          </w:divBdr>
        </w:div>
      </w:divsChild>
    </w:div>
    <w:div w:id="1332023058">
      <w:bodyDiv w:val="1"/>
      <w:marLeft w:val="0"/>
      <w:marRight w:val="0"/>
      <w:marTop w:val="0"/>
      <w:marBottom w:val="0"/>
      <w:divBdr>
        <w:top w:val="none" w:sz="0" w:space="0" w:color="auto"/>
        <w:left w:val="none" w:sz="0" w:space="0" w:color="auto"/>
        <w:bottom w:val="none" w:sz="0" w:space="0" w:color="auto"/>
        <w:right w:val="none" w:sz="0" w:space="0" w:color="auto"/>
      </w:divBdr>
      <w:divsChild>
        <w:div w:id="1888486813">
          <w:marLeft w:val="0"/>
          <w:marRight w:val="0"/>
          <w:marTop w:val="0"/>
          <w:marBottom w:val="0"/>
          <w:divBdr>
            <w:top w:val="none" w:sz="0" w:space="0" w:color="auto"/>
            <w:left w:val="none" w:sz="0" w:space="0" w:color="auto"/>
            <w:bottom w:val="none" w:sz="0" w:space="0" w:color="auto"/>
            <w:right w:val="none" w:sz="0" w:space="0" w:color="auto"/>
          </w:divBdr>
        </w:div>
        <w:div w:id="534466867">
          <w:marLeft w:val="0"/>
          <w:marRight w:val="0"/>
          <w:marTop w:val="0"/>
          <w:marBottom w:val="0"/>
          <w:divBdr>
            <w:top w:val="none" w:sz="0" w:space="0" w:color="auto"/>
            <w:left w:val="none" w:sz="0" w:space="0" w:color="auto"/>
            <w:bottom w:val="none" w:sz="0" w:space="0" w:color="auto"/>
            <w:right w:val="none" w:sz="0" w:space="0" w:color="auto"/>
          </w:divBdr>
        </w:div>
        <w:div w:id="1724593639">
          <w:marLeft w:val="0"/>
          <w:marRight w:val="0"/>
          <w:marTop w:val="0"/>
          <w:marBottom w:val="0"/>
          <w:divBdr>
            <w:top w:val="none" w:sz="0" w:space="0" w:color="auto"/>
            <w:left w:val="none" w:sz="0" w:space="0" w:color="auto"/>
            <w:bottom w:val="none" w:sz="0" w:space="0" w:color="auto"/>
            <w:right w:val="none" w:sz="0" w:space="0" w:color="auto"/>
          </w:divBdr>
        </w:div>
        <w:div w:id="2064788667">
          <w:marLeft w:val="0"/>
          <w:marRight w:val="0"/>
          <w:marTop w:val="0"/>
          <w:marBottom w:val="0"/>
          <w:divBdr>
            <w:top w:val="none" w:sz="0" w:space="0" w:color="auto"/>
            <w:left w:val="none" w:sz="0" w:space="0" w:color="auto"/>
            <w:bottom w:val="none" w:sz="0" w:space="0" w:color="auto"/>
            <w:right w:val="none" w:sz="0" w:space="0" w:color="auto"/>
          </w:divBdr>
        </w:div>
        <w:div w:id="722173481">
          <w:marLeft w:val="0"/>
          <w:marRight w:val="0"/>
          <w:marTop w:val="0"/>
          <w:marBottom w:val="0"/>
          <w:divBdr>
            <w:top w:val="none" w:sz="0" w:space="0" w:color="auto"/>
            <w:left w:val="none" w:sz="0" w:space="0" w:color="auto"/>
            <w:bottom w:val="none" w:sz="0" w:space="0" w:color="auto"/>
            <w:right w:val="none" w:sz="0" w:space="0" w:color="auto"/>
          </w:divBdr>
        </w:div>
        <w:div w:id="124460471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info@pensionpractitioner.com" TargetMode="External"/><Relationship Id="rId18" Type="http://schemas.openxmlformats.org/officeDocument/2006/relationships/hyperlink" Target="mailto:info@pensionpractitioner.com"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investing.thisismoney.co.uk/quote/ASTA/Astar-Minerals-Ord-01p-share-price" TargetMode="External"/><Relationship Id="rId17" Type="http://schemas.openxmlformats.org/officeDocument/2006/relationships/hyperlink" Target="mailto:info@pensionpractitioner.com"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mailto:info@pensionpractitioner.com"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nvesting.thisismoney.co.uk/quote/CIR/Circassia-Pharmaceuticals-Ord-008p-share-price" TargetMode="Externa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mailto:info@pensionpractitioner.com" TargetMode="External"/><Relationship Id="rId23" Type="http://schemas.openxmlformats.org/officeDocument/2006/relationships/footer" Target="footer2.xml"/><Relationship Id="rId10" Type="http://schemas.openxmlformats.org/officeDocument/2006/relationships/image" Target="media/image3.png"/><Relationship Id="rId19" Type="http://schemas.openxmlformats.org/officeDocument/2006/relationships/image" Target="media/image4.e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info@pensionpractitioner.com" TargetMode="External"/><Relationship Id="rId22" Type="http://schemas.openxmlformats.org/officeDocument/2006/relationships/footer" Target="footer1.xm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5728201-6FA3-4FD7-A0A9-3B38DC1660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13</Pages>
  <Words>2405</Words>
  <Characters>13709</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Georgina</dc:creator>
  <cp:lastModifiedBy>Gina Laptop</cp:lastModifiedBy>
  <cp:revision>3</cp:revision>
  <cp:lastPrinted>2016-01-25T13:19:00Z</cp:lastPrinted>
  <dcterms:created xsi:type="dcterms:W3CDTF">2016-01-25T13:26:00Z</dcterms:created>
  <dcterms:modified xsi:type="dcterms:W3CDTF">2016-01-25T13:29:00Z</dcterms:modified>
</cp:coreProperties>
</file>