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Undertaking to a loan agreement dated</w:t>
      </w:r>
      <w:r w:rsidR="000A646A">
        <w:rPr>
          <w:rStyle w:val="Strong"/>
          <w:sz w:val="24"/>
        </w:rPr>
        <w:t>: 2</w:t>
      </w:r>
      <w:r w:rsidR="00CB3D32">
        <w:rPr>
          <w:rStyle w:val="Strong"/>
          <w:sz w:val="24"/>
        </w:rPr>
        <w:t xml:space="preserve">7 September </w:t>
      </w:r>
      <w:r w:rsidR="000A646A">
        <w:rPr>
          <w:rStyle w:val="Strong"/>
          <w:sz w:val="24"/>
        </w:rPr>
        <w:t>201</w:t>
      </w:r>
      <w:r w:rsidR="00CB3D32">
        <w:rPr>
          <w:rStyle w:val="Strong"/>
          <w:sz w:val="24"/>
        </w:rPr>
        <w:t>2</w:t>
      </w:r>
    </w:p>
    <w:p w:rsidR="00A2328F" w:rsidRDefault="00A2328F" w:rsidP="00A2328F">
      <w:pPr>
        <w:pStyle w:val="NoSpacing"/>
        <w:spacing w:line="360" w:lineRule="auto"/>
      </w:pPr>
    </w:p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Between:</w:t>
      </w:r>
    </w:p>
    <w:p w:rsidR="00A2328F" w:rsidRDefault="00A2328F" w:rsidP="00A2328F">
      <w:pPr>
        <w:pStyle w:val="NoSpacing"/>
        <w:spacing w:line="360" w:lineRule="auto"/>
        <w:rPr>
          <w:rStyle w:val="Strong"/>
          <w:sz w:val="24"/>
        </w:rPr>
      </w:pPr>
      <w:r>
        <w:rPr>
          <w:b/>
          <w:bCs/>
          <w:sz w:val="24"/>
        </w:rPr>
        <w:br/>
      </w:r>
      <w:r w:rsidR="00CB3D32">
        <w:rPr>
          <w:rFonts w:cs="Calibri"/>
          <w:sz w:val="23"/>
          <w:szCs w:val="23"/>
        </w:rPr>
        <w:t xml:space="preserve">BARCLAY MEDIA </w:t>
      </w:r>
      <w:r w:rsidR="00581D7E" w:rsidRPr="00895317">
        <w:rPr>
          <w:rFonts w:cs="Calibri"/>
          <w:sz w:val="23"/>
          <w:szCs w:val="23"/>
        </w:rPr>
        <w:t>LIMITED</w:t>
      </w:r>
      <w:r w:rsidR="00581D7E" w:rsidRPr="00A1241E">
        <w:rPr>
          <w:rFonts w:cs="Calibri"/>
          <w:sz w:val="23"/>
          <w:szCs w:val="23"/>
        </w:rPr>
        <w:t xml:space="preserve"> </w:t>
      </w:r>
      <w:r w:rsidRPr="001477C6">
        <w:rPr>
          <w:bCs/>
        </w:rPr>
        <w:t>(</w:t>
      </w:r>
      <w:r w:rsidR="00CB3D32" w:rsidRPr="00CB3D32">
        <w:rPr>
          <w:bCs/>
        </w:rPr>
        <w:t>06633813</w:t>
      </w:r>
      <w:r w:rsidR="001477C6" w:rsidRPr="001477C6">
        <w:rPr>
          <w:bCs/>
          <w:sz w:val="24"/>
        </w:rPr>
        <w:t>)</w:t>
      </w:r>
      <w:r w:rsidR="001477C6">
        <w:t xml:space="preserve"> </w:t>
      </w:r>
      <w:r>
        <w:rPr>
          <w:sz w:val="24"/>
        </w:rPr>
        <w:t>a company incorporated under the laws of the England and Wales, whose registered office is at</w:t>
      </w:r>
      <w:r w:rsidR="001477C6">
        <w:rPr>
          <w:sz w:val="24"/>
        </w:rPr>
        <w:t xml:space="preserve"> </w:t>
      </w:r>
      <w:r w:rsidR="00D308F2">
        <w:rPr>
          <w:sz w:val="24"/>
        </w:rPr>
        <w:t xml:space="preserve">Suites 8 and 9, </w:t>
      </w:r>
      <w:bookmarkStart w:id="0" w:name="_GoBack"/>
      <w:bookmarkEnd w:id="0"/>
      <w:r w:rsidR="00CB3D32">
        <w:rPr>
          <w:sz w:val="24"/>
        </w:rPr>
        <w:t>6</w:t>
      </w:r>
      <w:r w:rsidR="00CB3D32" w:rsidRPr="00CB3D32">
        <w:rPr>
          <w:sz w:val="24"/>
          <w:vertAlign w:val="superscript"/>
        </w:rPr>
        <w:t>TH</w:t>
      </w:r>
      <w:r w:rsidR="00CB3D32">
        <w:rPr>
          <w:sz w:val="24"/>
        </w:rPr>
        <w:t xml:space="preserve"> Floor, 55 King Street, Manchester, M2 4LQ </w:t>
      </w:r>
      <w:r>
        <w:rPr>
          <w:rStyle w:val="Strong"/>
          <w:sz w:val="24"/>
        </w:rPr>
        <w:t>(the “Company”)</w:t>
      </w:r>
    </w:p>
    <w:p w:rsidR="001477C6" w:rsidRDefault="001477C6" w:rsidP="00A2328F">
      <w:pPr>
        <w:pStyle w:val="NoSpacing"/>
        <w:spacing w:line="360" w:lineRule="auto"/>
      </w:pPr>
    </w:p>
    <w:p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-and-</w:t>
      </w:r>
    </w:p>
    <w:p w:rsidR="00662735" w:rsidRDefault="00662735" w:rsidP="00A2328F">
      <w:pPr>
        <w:pStyle w:val="NoSpacing"/>
        <w:spacing w:line="360" w:lineRule="auto"/>
        <w:rPr>
          <w:sz w:val="24"/>
          <w:lang w:eastAsia="en-GB"/>
        </w:rPr>
      </w:pPr>
    </w:p>
    <w:p w:rsidR="00A2328F" w:rsidRDefault="00CB3D32" w:rsidP="00A2328F">
      <w:pPr>
        <w:pStyle w:val="NoSpacing"/>
        <w:spacing w:line="360" w:lineRule="auto"/>
      </w:pPr>
      <w:r>
        <w:rPr>
          <w:rFonts w:cs="Calibri"/>
          <w:caps/>
          <w:sz w:val="23"/>
          <w:szCs w:val="23"/>
        </w:rPr>
        <w:t xml:space="preserve">ROGER JOHN BARCLAY </w:t>
      </w:r>
      <w:r w:rsidR="001477C6">
        <w:rPr>
          <w:rFonts w:cs="Calibri"/>
          <w:sz w:val="23"/>
          <w:szCs w:val="23"/>
        </w:rPr>
        <w:t xml:space="preserve">and </w:t>
      </w:r>
      <w:r>
        <w:rPr>
          <w:rFonts w:cs="Calibri"/>
          <w:sz w:val="23"/>
          <w:szCs w:val="23"/>
        </w:rPr>
        <w:t xml:space="preserve">SARAH BARCLAY both </w:t>
      </w:r>
      <w:r w:rsidR="00A2328F">
        <w:rPr>
          <w:sz w:val="24"/>
        </w:rPr>
        <w:t xml:space="preserve">of </w:t>
      </w:r>
      <w:r>
        <w:rPr>
          <w:sz w:val="24"/>
        </w:rPr>
        <w:t xml:space="preserve">203 The Edge, Clowes Street, Manchester, M3 5NF </w:t>
      </w:r>
      <w:r w:rsidR="00A2328F">
        <w:rPr>
          <w:sz w:val="24"/>
        </w:rPr>
        <w:t xml:space="preserve">as Trustees of </w:t>
      </w:r>
      <w:r>
        <w:rPr>
          <w:sz w:val="24"/>
        </w:rPr>
        <w:t xml:space="preserve">Barclay Media Pension Scheme </w:t>
      </w:r>
      <w:r w:rsidR="00A2328F" w:rsidRPr="00662735">
        <w:rPr>
          <w:b/>
          <w:sz w:val="24"/>
        </w:rPr>
        <w:t>(the “Trustees”)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The Trustees of </w:t>
      </w:r>
      <w:r w:rsidR="00CB3D32">
        <w:rPr>
          <w:rFonts w:cs="Calibri"/>
          <w:sz w:val="24"/>
          <w:szCs w:val="23"/>
          <w:lang w:eastAsia="en-GB"/>
        </w:rPr>
        <w:t xml:space="preserve">Barclay Media Pension Scheme </w:t>
      </w:r>
      <w:r w:rsidR="00024349">
        <w:rPr>
          <w:rFonts w:cs="Calibri"/>
          <w:sz w:val="24"/>
          <w:szCs w:val="23"/>
          <w:lang w:eastAsia="en-GB"/>
        </w:rPr>
        <w:t>have</w:t>
      </w:r>
      <w:r>
        <w:rPr>
          <w:rFonts w:cs="Calibri"/>
          <w:sz w:val="24"/>
          <w:szCs w:val="23"/>
          <w:lang w:eastAsia="en-GB"/>
        </w:rPr>
        <w:t xml:space="preserve"> registered a legal charge dated </w:t>
      </w:r>
      <w:r w:rsidR="00854E6D" w:rsidRPr="008D449C">
        <w:rPr>
          <w:rFonts w:cs="Calibri"/>
          <w:sz w:val="24"/>
          <w:szCs w:val="23"/>
          <w:shd w:val="clear" w:color="auto" w:fill="FFFFFF"/>
        </w:rPr>
        <w:t>2</w:t>
      </w:r>
      <w:r w:rsidR="00CB3D32">
        <w:rPr>
          <w:rFonts w:cs="Calibri"/>
          <w:sz w:val="24"/>
          <w:szCs w:val="23"/>
          <w:shd w:val="clear" w:color="auto" w:fill="FFFFFF"/>
        </w:rPr>
        <w:t xml:space="preserve">7 September 2012 </w:t>
      </w:r>
      <w:r>
        <w:rPr>
          <w:rFonts w:cs="Calibri"/>
          <w:sz w:val="24"/>
          <w:szCs w:val="23"/>
          <w:shd w:val="clear" w:color="auto" w:fill="FFFFFF"/>
        </w:rPr>
        <w:t xml:space="preserve">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>
        <w:rPr>
          <w:rFonts w:cs="Calibri"/>
          <w:sz w:val="24"/>
          <w:szCs w:val="23"/>
        </w:rPr>
        <w:t xml:space="preserve">Charged Assets” which means </w:t>
      </w:r>
      <w:r w:rsidR="00854E6D" w:rsidRPr="00A1241E">
        <w:rPr>
          <w:rFonts w:cs="Calibri"/>
          <w:sz w:val="23"/>
          <w:szCs w:val="23"/>
        </w:rPr>
        <w:t>the whole of the undertaking and assets of the Chargee</w:t>
      </w:r>
      <w:r>
        <w:rPr>
          <w:rFonts w:cs="Calibri"/>
          <w:sz w:val="24"/>
          <w:szCs w:val="23"/>
        </w:rPr>
        <w:t>.</w:t>
      </w:r>
      <w:r>
        <w:rPr>
          <w:rFonts w:cs="Calibri"/>
          <w:sz w:val="24"/>
          <w:szCs w:val="23"/>
        </w:rPr>
        <w:br/>
      </w:r>
      <w:r>
        <w:rPr>
          <w:sz w:val="24"/>
          <w:lang w:eastAsia="en-GB"/>
        </w:rPr>
        <w:br/>
        <w:t xml:space="preserve">The </w:t>
      </w:r>
      <w:r w:rsidRPr="00854E6D">
        <w:rPr>
          <w:sz w:val="24"/>
          <w:lang w:eastAsia="en-GB"/>
        </w:rPr>
        <w:t>Directors</w:t>
      </w:r>
      <w:r w:rsidR="0066273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of</w:t>
      </w:r>
      <w:r>
        <w:rPr>
          <w:b/>
          <w:sz w:val="24"/>
          <w:lang w:eastAsia="en-GB"/>
        </w:rPr>
        <w:t xml:space="preserve"> </w:t>
      </w:r>
      <w:r w:rsidR="00CB3D32">
        <w:rPr>
          <w:rStyle w:val="Strong"/>
          <w:b w:val="0"/>
          <w:sz w:val="24"/>
        </w:rPr>
        <w:t xml:space="preserve">Barclay Media </w:t>
      </w:r>
      <w:r w:rsidR="00854E6D" w:rsidRPr="00854E6D">
        <w:rPr>
          <w:rStyle w:val="Strong"/>
          <w:b w:val="0"/>
          <w:sz w:val="24"/>
        </w:rPr>
        <w:t xml:space="preserve">Limited </w:t>
      </w:r>
      <w:r w:rsidR="00854E6D">
        <w:rPr>
          <w:rStyle w:val="Strong"/>
          <w:sz w:val="24"/>
        </w:rPr>
        <w:t>undertake</w:t>
      </w:r>
      <w:r>
        <w:rPr>
          <w:rStyle w:val="Strong"/>
          <w:sz w:val="24"/>
        </w:rPr>
        <w:t xml:space="preserve"> that:</w:t>
      </w:r>
      <w:r>
        <w:rPr>
          <w:b/>
          <w:bCs/>
          <w:sz w:val="24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</w:rPr>
        <w:t xml:space="preserve">As a consequence of the </w:t>
      </w:r>
      <w:r w:rsidRPr="00854E6D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>’s undertakings to the Trustees and so as not to diminish any and all existing or futu</w:t>
      </w:r>
      <w:r w:rsidR="00662735">
        <w:rPr>
          <w:rFonts w:cs="Calibri"/>
          <w:sz w:val="24"/>
          <w:szCs w:val="23"/>
        </w:rPr>
        <w:t>re legal charges and debentures</w:t>
      </w:r>
      <w:r>
        <w:rPr>
          <w:rFonts w:cs="Calibri"/>
          <w:sz w:val="24"/>
          <w:szCs w:val="23"/>
        </w:rPr>
        <w:t xml:space="preserve">, the </w:t>
      </w:r>
      <w:r w:rsidRPr="00854E6D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 xml:space="preserve"> unde</w:t>
      </w:r>
      <w:r w:rsidR="00662735">
        <w:rPr>
          <w:rFonts w:cs="Calibri"/>
          <w:sz w:val="24"/>
          <w:szCs w:val="23"/>
        </w:rPr>
        <w:t>rtakes to the Trustees to treat</w:t>
      </w:r>
      <w:r>
        <w:rPr>
          <w:rFonts w:cs="Calibri"/>
          <w:sz w:val="24"/>
          <w:szCs w:val="23"/>
        </w:rPr>
        <w:t xml:space="preserve"> any new legal charges and debentures made in accordance with Companies Act 2006 (P25.C2 S882) to hold those </w:t>
      </w:r>
      <w:r>
        <w:rPr>
          <w:rFonts w:cs="Calibri"/>
          <w:sz w:val="24"/>
          <w:szCs w:val="23"/>
          <w:lang w:eastAsia="en-GB"/>
        </w:rPr>
        <w:t>series issued as pari passu with any existing charge.</w:t>
      </w:r>
      <w:r>
        <w:rPr>
          <w:rFonts w:cs="Calibri"/>
          <w:sz w:val="24"/>
          <w:szCs w:val="23"/>
          <w:lang w:eastAsia="en-GB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Pursuant to </w:t>
      </w:r>
      <w:r>
        <w:rPr>
          <w:rFonts w:cs="Calibri"/>
          <w:sz w:val="24"/>
          <w:szCs w:val="23"/>
        </w:rPr>
        <w:t>Companies Act 2006 (P25.C2 S882 (4) a</w:t>
      </w:r>
      <w:r>
        <w:rPr>
          <w:rFonts w:cs="Calibri"/>
          <w:sz w:val="24"/>
          <w:szCs w:val="23"/>
          <w:lang w:eastAsia="en-GB"/>
        </w:rPr>
        <w:t xml:space="preserve">ny failure to deliver the charge to the registrar does not affect the validity of any of those debentures issued after </w:t>
      </w:r>
      <w:r w:rsidR="00854E6D" w:rsidRPr="008D449C">
        <w:rPr>
          <w:rFonts w:cs="Calibri"/>
          <w:sz w:val="24"/>
          <w:szCs w:val="23"/>
          <w:lang w:eastAsia="en-GB"/>
        </w:rPr>
        <w:t>2</w:t>
      </w:r>
      <w:r w:rsidR="00CB3D32">
        <w:rPr>
          <w:rFonts w:cs="Calibri"/>
          <w:sz w:val="24"/>
          <w:szCs w:val="23"/>
          <w:lang w:eastAsia="en-GB"/>
        </w:rPr>
        <w:t>7 September 2012</w:t>
      </w:r>
      <w:r w:rsidR="00854E6D">
        <w:rPr>
          <w:rFonts w:cs="Calibri"/>
          <w:sz w:val="24"/>
          <w:szCs w:val="23"/>
          <w:lang w:eastAsia="en-GB"/>
        </w:rPr>
        <w:t>.</w:t>
      </w:r>
    </w:p>
    <w:p w:rsidR="00A2328F" w:rsidRDefault="00A2328F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854E6D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……………………………………………….</w:t>
      </w:r>
    </w:p>
    <w:p w:rsidR="00A2328F" w:rsidRDefault="00A2328F" w:rsidP="00A2328F">
      <w:pPr>
        <w:shd w:val="clear" w:color="auto" w:fill="FFFFFF"/>
        <w:spacing w:after="120" w:line="270" w:lineRule="atLeast"/>
      </w:pPr>
      <w:r>
        <w:rPr>
          <w:rFonts w:ascii="Calibri" w:hAnsi="Calibri"/>
          <w:sz w:val="24"/>
        </w:rPr>
        <w:t>Director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br/>
      </w:r>
      <w:r w:rsidR="00CB3D32">
        <w:rPr>
          <w:rStyle w:val="Strong"/>
          <w:rFonts w:ascii="Calibri" w:hAnsi="Calibri"/>
          <w:sz w:val="24"/>
        </w:rPr>
        <w:t xml:space="preserve">Barclay Media </w:t>
      </w:r>
      <w:r w:rsidR="00854E6D" w:rsidRPr="00854E6D">
        <w:rPr>
          <w:rStyle w:val="Strong"/>
          <w:rFonts w:ascii="Calibri" w:hAnsi="Calibri"/>
          <w:sz w:val="24"/>
        </w:rPr>
        <w:t>Limited</w:t>
      </w:r>
      <w:r>
        <w:rPr>
          <w:rStyle w:val="Strong"/>
          <w:rFonts w:ascii="Calibri" w:hAnsi="Calibri"/>
          <w:sz w:val="24"/>
        </w:rPr>
        <w:tab/>
      </w:r>
      <w:r>
        <w:rPr>
          <w:rStyle w:val="Strong"/>
          <w:rFonts w:ascii="Calibri" w:hAnsi="Calibri"/>
          <w:sz w:val="24"/>
        </w:rPr>
        <w:tab/>
        <w:t xml:space="preserve"> </w:t>
      </w:r>
    </w:p>
    <w:p w:rsidR="00A2328F" w:rsidRDefault="00A2328F" w:rsidP="00A2328F">
      <w:pPr>
        <w:jc w:val="left"/>
      </w:pPr>
    </w:p>
    <w:p w:rsidR="00A2328F" w:rsidRDefault="00A2328F" w:rsidP="00A2328F">
      <w:pPr>
        <w:jc w:val="left"/>
      </w:pPr>
    </w:p>
    <w:p w:rsidR="00854E6D" w:rsidRDefault="00854E6D" w:rsidP="00854E6D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……………………………………………….</w:t>
      </w:r>
    </w:p>
    <w:p w:rsidR="00854E6D" w:rsidRDefault="00CB3D32" w:rsidP="00A2328F">
      <w:pPr>
        <w:jc w:val="left"/>
        <w:rPr>
          <w:rStyle w:val="Strong"/>
          <w:rFonts w:ascii="Calibri" w:hAnsi="Calibri"/>
          <w:sz w:val="24"/>
        </w:rPr>
      </w:pPr>
      <w:r>
        <w:rPr>
          <w:rStyle w:val="Strong"/>
          <w:rFonts w:ascii="Calibri" w:hAnsi="Calibri"/>
          <w:sz w:val="24"/>
        </w:rPr>
        <w:t xml:space="preserve">ROGER JOHN BARCLAY </w:t>
      </w:r>
      <w:r w:rsidR="00854E6D">
        <w:rPr>
          <w:rStyle w:val="Strong"/>
          <w:rFonts w:ascii="Calibri" w:hAnsi="Calibri"/>
          <w:sz w:val="24"/>
        </w:rPr>
        <w:br/>
      </w:r>
      <w:r w:rsidR="00854E6D" w:rsidRPr="00854E6D">
        <w:rPr>
          <w:rStyle w:val="Strong"/>
          <w:rFonts w:ascii="Calibri" w:hAnsi="Calibri"/>
          <w:b w:val="0"/>
          <w:sz w:val="24"/>
        </w:rPr>
        <w:t>TRUSTEE</w:t>
      </w:r>
      <w:r w:rsidR="00854E6D" w:rsidRPr="00854E6D">
        <w:rPr>
          <w:rStyle w:val="Strong"/>
          <w:rFonts w:ascii="Calibri" w:hAnsi="Calibri"/>
          <w:b w:val="0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854E6D" w:rsidRDefault="00854E6D" w:rsidP="00A2328F">
      <w:pPr>
        <w:jc w:val="left"/>
        <w:rPr>
          <w:rStyle w:val="Strong"/>
          <w:rFonts w:ascii="Calibri" w:hAnsi="Calibri"/>
          <w:sz w:val="24"/>
        </w:rPr>
      </w:pPr>
    </w:p>
    <w:p w:rsidR="00854E6D" w:rsidRDefault="00854E6D" w:rsidP="00A2328F">
      <w:pPr>
        <w:jc w:val="left"/>
        <w:rPr>
          <w:rStyle w:val="Strong"/>
          <w:rFonts w:ascii="Calibri" w:hAnsi="Calibri"/>
          <w:sz w:val="24"/>
        </w:rPr>
      </w:pPr>
    </w:p>
    <w:p w:rsidR="00A2328F" w:rsidRPr="00854E6D" w:rsidRDefault="00854E6D" w:rsidP="00A2328F">
      <w:pPr>
        <w:jc w:val="left"/>
        <w:rPr>
          <w:rFonts w:ascii="Calibri" w:hAnsi="Calibri"/>
          <w:b/>
          <w:bCs/>
          <w:sz w:val="24"/>
        </w:rPr>
      </w:pPr>
      <w:r w:rsidRPr="00854E6D">
        <w:rPr>
          <w:rStyle w:val="Strong"/>
          <w:rFonts w:ascii="Calibri" w:hAnsi="Calibri"/>
          <w:sz w:val="24"/>
        </w:rPr>
        <w:t>……………………………………………….</w:t>
      </w:r>
      <w:r>
        <w:rPr>
          <w:rStyle w:val="Strong"/>
          <w:rFonts w:ascii="Calibri" w:hAnsi="Calibri"/>
          <w:sz w:val="24"/>
        </w:rPr>
        <w:br/>
      </w:r>
      <w:r w:rsidR="00CB3D32">
        <w:rPr>
          <w:rFonts w:ascii="Calibri" w:hAnsi="Calibri"/>
          <w:b/>
          <w:bCs/>
          <w:sz w:val="24"/>
        </w:rPr>
        <w:t>SARAH BARCLAY</w:t>
      </w:r>
      <w:r w:rsidR="00A2328F">
        <w:rPr>
          <w:rFonts w:ascii="Calibri" w:hAnsi="Calibri"/>
          <w:b/>
          <w:bCs/>
          <w:sz w:val="24"/>
        </w:rPr>
        <w:br/>
      </w:r>
      <w:r w:rsidR="00A2328F" w:rsidRPr="00854E6D">
        <w:rPr>
          <w:rStyle w:val="Strong"/>
          <w:rFonts w:ascii="Calibri" w:hAnsi="Calibri"/>
          <w:b w:val="0"/>
          <w:sz w:val="24"/>
        </w:rPr>
        <w:t>TRUSTEE</w:t>
      </w:r>
      <w:r w:rsidR="00A2328F" w:rsidRPr="00854E6D">
        <w:rPr>
          <w:rStyle w:val="Strong"/>
          <w:rFonts w:ascii="Calibri" w:hAnsi="Calibri"/>
          <w:b w:val="0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</w:p>
    <w:p w:rsidR="00496406" w:rsidRDefault="00496406"/>
    <w:sectPr w:rsidR="0049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024349"/>
    <w:rsid w:val="000A646A"/>
    <w:rsid w:val="001477C6"/>
    <w:rsid w:val="002664FD"/>
    <w:rsid w:val="00496406"/>
    <w:rsid w:val="004D199A"/>
    <w:rsid w:val="00581D7E"/>
    <w:rsid w:val="00662735"/>
    <w:rsid w:val="00807579"/>
    <w:rsid w:val="00854E6D"/>
    <w:rsid w:val="008D449C"/>
    <w:rsid w:val="008F007D"/>
    <w:rsid w:val="00A2328F"/>
    <w:rsid w:val="00BE0890"/>
    <w:rsid w:val="00CB3D32"/>
    <w:rsid w:val="00D20208"/>
    <w:rsid w:val="00D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  <w:style w:type="paragraph" w:styleId="TOC1">
    <w:name w:val="toc 1"/>
    <w:basedOn w:val="Normal"/>
    <w:next w:val="Normal"/>
    <w:semiHidden/>
    <w:rsid w:val="00854E6D"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autoSpaceDN/>
      <w:spacing w:after="0" w:line="240" w:lineRule="auto"/>
      <w:ind w:left="936" w:right="1109" w:hanging="9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2328F"/>
    <w:rPr>
      <w:b/>
      <w:bCs/>
    </w:rPr>
  </w:style>
  <w:style w:type="paragraph" w:styleId="TOC1">
    <w:name w:val="toc 1"/>
    <w:basedOn w:val="Normal"/>
    <w:next w:val="Normal"/>
    <w:semiHidden/>
    <w:rsid w:val="00854E6D"/>
    <w:pPr>
      <w:tabs>
        <w:tab w:val="clear" w:pos="1872"/>
        <w:tab w:val="clear" w:pos="2520"/>
        <w:tab w:val="clear" w:pos="3096"/>
        <w:tab w:val="clear" w:pos="3816"/>
        <w:tab w:val="right" w:leader="dot" w:pos="8309"/>
      </w:tabs>
      <w:autoSpaceDN/>
      <w:spacing w:after="0" w:line="240" w:lineRule="auto"/>
      <w:ind w:left="936" w:right="1109" w:hanging="9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Brad</cp:lastModifiedBy>
  <cp:revision>3</cp:revision>
  <cp:lastPrinted>2013-03-28T12:44:00Z</cp:lastPrinted>
  <dcterms:created xsi:type="dcterms:W3CDTF">2014-01-14T01:32:00Z</dcterms:created>
  <dcterms:modified xsi:type="dcterms:W3CDTF">2014-01-14T01:44:00Z</dcterms:modified>
</cp:coreProperties>
</file>