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Bailey Glapwell Ltd Executive Pension Scheme</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DEED is dated </w:t>
      </w:r>
      <w:r w:rsidDel="00000000" w:rsidR="00000000" w:rsidRPr="00000000">
        <w:rPr>
          <w:rtl w:val="0"/>
        </w:rPr>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2" w:line="240" w:lineRule="auto"/>
        <w:ind w:left="514"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 Brunt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32 The Green, Glapwell, Chesterfield, S44 5LN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Trustee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2F">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widowControl w:val="1"/>
        <w:numPr>
          <w:ilvl w:val="0"/>
          <w:numId w:val="2"/>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Bailey Glapwell Ltd Executive Pension Scheme</w:t>
      </w:r>
      <w:r w:rsidDel="00000000" w:rsidR="00000000" w:rsidRPr="00000000">
        <w:rPr>
          <w:rFonts w:ascii="Times New Roman" w:cs="Times New Roman" w:eastAsia="Times New Roman" w:hAnsi="Times New Roman"/>
          <w:sz w:val="24"/>
          <w:szCs w:val="24"/>
          <w:rtl w:val="0"/>
        </w:rPr>
        <w:t xml:space="preserve"> (in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registered pension scheme for the purposes of Part 4 of the Finance Act 2004 currently governed by a Deed of Amendment dated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December 2014 as Amended by a Deed of Amendment dated 28th November 2024 and all subsequent amendments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widowControl w:val="1"/>
        <w:numPr>
          <w:ilvl w:val="0"/>
          <w:numId w:val="2"/>
        </w:numPr>
        <w:spacing w:after="240" w:lineRule="auto"/>
        <w:ind w:left="832" w:hanging="67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General Trustee is the present member trustee to the Scheme.</w:t>
      </w:r>
    </w:p>
    <w:p w:rsidR="00000000" w:rsidDel="00000000" w:rsidP="00000000" w:rsidRDefault="00000000" w:rsidRPr="00000000" w14:paraId="00000032">
      <w:pPr>
        <w:widowControl w:val="1"/>
        <w:numPr>
          <w:ilvl w:val="0"/>
          <w:numId w:val="2"/>
        </w:numPr>
        <w:spacing w:after="240" w:lineRule="auto"/>
        <w:ind w:left="832" w:hanging="67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Following the dissolution of the establishing and principal sponsoring employer (Bailey Glapwell Ltd; Company No 09280818) (in this Deed called the ‘Former Sponsoring Employer’) on 30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March 2021, all powers and discretions formerly vested in the Former Sponsoring Employer are now vested in the Trustees alone.</w:t>
      </w: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tabs>
          <w:tab w:val="left" w:leader="none"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General Trustee is desirous to update the Rules of the Scheme under Clause 22.1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tabs>
          <w:tab w:val="left" w:leader="none" w:pos="832"/>
          <w:tab w:val="left" w:leader="none"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832"/>
          <w:tab w:val="left" w:leader="none"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tabs>
          <w:tab w:val="left" w:leader="none" w:pos="832"/>
          <w:tab w:val="left" w:leader="none"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spacing w:before="1" w:line="360"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Deed of Amendment dated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December 2014</w:t>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3F">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Rose Cottage Woodford SSAS</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numPr>
          <w:ilvl w:val="1"/>
          <w:numId w:val="1"/>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2" w:right="0" w:hanging="6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8">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A">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C">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E">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0">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1"/>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1"/>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4">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1"/>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6">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1"/>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8">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tabs>
          <w:tab w:val="left" w:leader="none" w:pos="832"/>
          <w:tab w:val="left" w:leader="none" w:pos="833"/>
          <w:tab w:val="left" w:leader="none" w:pos="1560"/>
        </w:tabs>
        <w:spacing w:before="10" w:line="249" w:lineRule="auto"/>
        <w:ind w:left="810" w:right="153" w:hanging="6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832"/>
          <w:tab w:val="left" w:leader="none" w:pos="833"/>
          <w:tab w:val="left" w:leader="none"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tabs>
          <w:tab w:val="left" w:leader="none"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22.1 of the Existing Provisions, the General Trustee has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tabs>
          <w:tab w:val="left" w:leader="none" w:pos="832"/>
          <w:tab w:val="left" w:leader="none"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tabs>
          <w:tab w:val="left" w:leader="none" w:pos="832"/>
          <w:tab w:val="left" w:leader="none"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832"/>
          <w:tab w:val="left" w:leader="none" w:pos="833"/>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832"/>
          <w:tab w:val="left" w:leader="none" w:pos="833"/>
        </w:tabs>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832"/>
          <w:tab w:val="left" w:leader="none" w:pos="833"/>
        </w:tabs>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832"/>
          <w:tab w:val="left" w:leader="none" w:pos="833"/>
        </w:tabs>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ind w:left="19440" w:hanging="192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left="19440" w:hanging="192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r>
      <w:r w:rsidDel="00000000" w:rsidR="00000000" w:rsidRPr="00000000">
        <w:rPr>
          <w:rtl w:val="0"/>
        </w:rPr>
      </w:r>
    </w:p>
    <w:p w:rsidR="00000000" w:rsidDel="00000000" w:rsidP="00000000" w:rsidRDefault="00000000" w:rsidRPr="00000000" w14:paraId="00000073">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Mark Brunt </w:t>
      </w:r>
      <w:r w:rsidDel="00000000" w:rsidR="00000000" w:rsidRPr="00000000">
        <w:rPr>
          <w:rFonts w:ascii="Times New Roman" w:cs="Times New Roman" w:eastAsia="Times New Roman" w:hAnsi="Times New Roman"/>
          <w:sz w:val="24"/>
          <w:szCs w:val="24"/>
          <w:rtl w:val="0"/>
        </w:rPr>
        <w:t xml:space="preserve">acting by:</w:t>
      </w:r>
    </w:p>
    <w:p w:rsidR="00000000" w:rsidDel="00000000" w:rsidP="00000000" w:rsidRDefault="00000000" w:rsidRPr="00000000" w14:paraId="00000074">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76">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Witness</w:t>
        <w:tab/>
        <w:t xml:space="preserve">Signature:</w:t>
      </w:r>
    </w:p>
    <w:p w:rsidR="00000000" w:rsidDel="00000000" w:rsidP="00000000" w:rsidRDefault="00000000" w:rsidRPr="00000000" w14:paraId="00000078">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79">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7A">
      <w:pPr>
        <w:ind w:left="19440" w:hanging="19298"/>
        <w:rPr>
          <w:rFonts w:ascii="Times New Roman" w:cs="Times New Roman" w:eastAsia="Times New Roman" w:hAnsi="Times New Roman"/>
          <w:sz w:val="24"/>
          <w:szCs w:val="24"/>
        </w:rPr>
      </w:pPr>
      <w:r w:rsidDel="00000000" w:rsidR="00000000" w:rsidRPr="00000000">
        <w:rPr>
          <w:rtl w:val="0"/>
        </w:rPr>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32" w:hanging="678"/>
      </w:pPr>
      <w:rPr/>
    </w:lvl>
    <w:lvl w:ilvl="1">
      <w:start w:val="1"/>
      <w:numFmt w:val="decimal"/>
      <w:lvlText w:val="%1.%2"/>
      <w:lvlJc w:val="left"/>
      <w:pPr>
        <w:ind w:left="1488" w:hanging="674.9999999999999"/>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2">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abstractNum w:abstractNumId="3">
    <w:lvl w:ilvl="0">
      <w:start w:val="1"/>
      <w:numFmt w:val="decimal"/>
      <w:lvlText w:val="%1."/>
      <w:lvlJc w:val="left"/>
      <w:pPr>
        <w:ind w:left="514" w:hanging="360"/>
      </w:pPr>
      <w:rPr/>
    </w:lvl>
    <w:lvl w:ilvl="1">
      <w:start w:val="1"/>
      <w:numFmt w:val="lowerLetter"/>
      <w:lvlText w:val="%2."/>
      <w:lvlJc w:val="left"/>
      <w:pPr>
        <w:ind w:left="1234" w:hanging="360"/>
      </w:pPr>
      <w:rPr/>
    </w:lvl>
    <w:lvl w:ilvl="2">
      <w:start w:val="1"/>
      <w:numFmt w:val="lowerRoman"/>
      <w:lvlText w:val="%3."/>
      <w:lvlJc w:val="right"/>
      <w:pPr>
        <w:ind w:left="1954" w:hanging="180"/>
      </w:pPr>
      <w:rPr/>
    </w:lvl>
    <w:lvl w:ilvl="3">
      <w:start w:val="1"/>
      <w:numFmt w:val="decimal"/>
      <w:lvlText w:val="%4."/>
      <w:lvlJc w:val="left"/>
      <w:pPr>
        <w:ind w:left="2674" w:hanging="360"/>
      </w:pPr>
      <w:rPr/>
    </w:lvl>
    <w:lvl w:ilvl="4">
      <w:start w:val="1"/>
      <w:numFmt w:val="lowerLetter"/>
      <w:lvlText w:val="%5."/>
      <w:lvlJc w:val="left"/>
      <w:pPr>
        <w:ind w:left="3394" w:hanging="360"/>
      </w:pPr>
      <w:rPr/>
    </w:lvl>
    <w:lvl w:ilvl="5">
      <w:start w:val="1"/>
      <w:numFmt w:val="lowerRoman"/>
      <w:lvlText w:val="%6."/>
      <w:lvlJc w:val="right"/>
      <w:pPr>
        <w:ind w:left="4114" w:hanging="180"/>
      </w:pPr>
      <w:rPr/>
    </w:lvl>
    <w:lvl w:ilvl="6">
      <w:start w:val="1"/>
      <w:numFmt w:val="decimal"/>
      <w:lvlText w:val="%7."/>
      <w:lvlJc w:val="left"/>
      <w:pPr>
        <w:ind w:left="4834" w:hanging="360"/>
      </w:pPr>
      <w:rPr/>
    </w:lvl>
    <w:lvl w:ilvl="7">
      <w:start w:val="1"/>
      <w:numFmt w:val="lowerLetter"/>
      <w:lvlText w:val="%8."/>
      <w:lvlJc w:val="left"/>
      <w:pPr>
        <w:ind w:left="5554" w:hanging="360"/>
      </w:pPr>
      <w:rPr/>
    </w:lvl>
    <w:lvl w:ilvl="8">
      <w:start w:val="1"/>
      <w:numFmt w:val="lowerRoman"/>
      <w:lvlText w:val="%9."/>
      <w:lvlJc w:val="right"/>
      <w:pPr>
        <w:ind w:left="6274"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link w:val="10"/>
    <w:uiPriority w:val="9"/>
    <w:qFormat w:val="1"/>
    <w:rsid w:val="009B4E20"/>
    <w:pPr>
      <w:ind w:left="411" w:hanging="312"/>
      <w:outlineLvl w:val="0"/>
    </w:pPr>
    <w:rPr>
      <w:rFonts w:ascii="Arial" w:cs="Arial" w:eastAsia="Arial" w:hAnsi="Arial"/>
      <w:b w:val="1"/>
      <w:bCs w:val="1"/>
    </w:rPr>
  </w:style>
  <w:style w:type="paragraph" w:styleId="2">
    <w:name w:val="heading 2"/>
    <w:basedOn w:val="a"/>
    <w:link w:val="20"/>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a4">
    <w:name w:val="Body Text"/>
    <w:basedOn w:val="a"/>
    <w:uiPriority w:val="1"/>
    <w:qFormat w:val="1"/>
    <w:rPr>
      <w:sz w:val="20"/>
      <w:szCs w:val="20"/>
    </w:rPr>
  </w:style>
  <w:style w:type="paragraph" w:styleId="a5">
    <w:name w:val="List Paragraph"/>
    <w:basedOn w:val="a"/>
    <w:uiPriority w:val="34"/>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jW2cfQvqDOvC4rYBnm3d4NZZw==">CgMxLjAyCGguZ2pkZ3hzMgloLjMwajB6bGw4AHIhMUVIVWJfRE9MbzJqRk05R0NBYzFKLUpHZ25XQlRYM1BR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2024-08-22T11:56:00Z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2019-07-09T00:00:00Z</vt:lpwstr>
  </property>
  <property fmtid="{D5CDD505-2E9C-101B-9397-08002B2CF9AE}" pid="3" name="Creator">
    <vt:lpwstr>PScript5.dll Version 5.2.2</vt:lpwstr>
  </property>
  <property fmtid="{D5CDD505-2E9C-101B-9397-08002B2CF9AE}" pid="4" name="LastSaved">
    <vt:lpwstr>2019-08-20T00:00:00Z</vt:lpwstr>
  </property>
</Properties>
</file>