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ED557" w14:textId="77777777" w:rsidR="00811090" w:rsidRDefault="00811090">
      <w:pPr>
        <w:shd w:val="clear" w:color="auto" w:fill="FFFFFF"/>
        <w:spacing w:line="250" w:lineRule="auto"/>
        <w:ind w:left="851"/>
        <w:jc w:val="center"/>
        <w:rPr>
          <w:color w:val="0B0C0C"/>
          <w:highlight w:val="white"/>
        </w:rPr>
      </w:pPr>
    </w:p>
    <w:p w14:paraId="328B3349" w14:textId="6260F5C7"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A46DB0">
        <w:rPr>
          <w:b/>
          <w:color w:val="0B0C0C"/>
        </w:rPr>
        <w:t>Aptus Estate Agents Ltd</w:t>
      </w:r>
      <w:r>
        <w:rPr>
          <w:b/>
          <w:color w:val="0B0C0C"/>
        </w:rPr>
        <w:t xml:space="preserve"> </w:t>
      </w:r>
      <w:r>
        <w:rPr>
          <w:color w:val="000000"/>
        </w:rPr>
        <w:t>(the </w:t>
      </w:r>
      <w:r>
        <w:rPr>
          <w:b/>
          <w:color w:val="000000"/>
        </w:rPr>
        <w:t>Company</w:t>
      </w:r>
      <w:r>
        <w:rPr>
          <w:color w:val="000000"/>
        </w:rPr>
        <w:t xml:space="preserve">) held at </w:t>
      </w:r>
      <w:r w:rsidR="00A46DB0">
        <w:rPr>
          <w:color w:val="0B0C0C"/>
        </w:rPr>
        <w:t>11 Somerset Place, Glasgow, G3 7JT</w:t>
      </w:r>
      <w:r w:rsidR="007A03F4">
        <w:rPr>
          <w:color w:val="0B0C0C"/>
        </w:rPr>
        <w:t xml:space="preserve"> on the </w:t>
      </w:r>
      <w:r w:rsidR="00A46DB0">
        <w:rPr>
          <w:color w:val="0B0C0C"/>
        </w:rPr>
        <w:t>5</w:t>
      </w:r>
      <w:r w:rsidR="00A46DB0" w:rsidRPr="00A46DB0">
        <w:rPr>
          <w:color w:val="0B0C0C"/>
          <w:vertAlign w:val="superscript"/>
        </w:rPr>
        <w:t>th</w:t>
      </w:r>
      <w:r w:rsidR="00A46DB0">
        <w:rPr>
          <w:color w:val="0B0C0C"/>
        </w:rPr>
        <w:t xml:space="preserve"> November 2020</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21AA3512" w:rsidR="005853C9" w:rsidRDefault="00A46DB0">
            <w:pPr>
              <w:spacing w:after="240"/>
            </w:pPr>
            <w:r>
              <w:t>Derek Knowles</w:t>
            </w:r>
          </w:p>
        </w:tc>
        <w:tc>
          <w:tcPr>
            <w:tcW w:w="2373" w:type="dxa"/>
            <w:tcBorders>
              <w:top w:val="single" w:sz="4" w:space="0" w:color="000000"/>
            </w:tcBorders>
          </w:tcPr>
          <w:p w14:paraId="75F06657" w14:textId="77777777" w:rsidR="00811090" w:rsidRDefault="00811090">
            <w:pPr>
              <w:spacing w:before="120" w:after="240"/>
            </w:pPr>
          </w:p>
        </w:tc>
      </w:tr>
      <w:tr w:rsidR="00811090" w14:paraId="0124A368" w14:textId="77777777">
        <w:tc>
          <w:tcPr>
            <w:tcW w:w="3095" w:type="dxa"/>
          </w:tcPr>
          <w:p w14:paraId="7EFCBDD7" w14:textId="77777777" w:rsidR="00811090" w:rsidRDefault="00811090">
            <w:pPr>
              <w:pBdr>
                <w:top w:val="nil"/>
                <w:left w:val="nil"/>
                <w:bottom w:val="nil"/>
                <w:right w:val="nil"/>
                <w:between w:val="nil"/>
              </w:pBdr>
              <w:spacing w:before="120" w:after="240" w:line="312" w:lineRule="auto"/>
              <w:rPr>
                <w:color w:val="000000"/>
              </w:rPr>
            </w:pPr>
          </w:p>
        </w:tc>
        <w:tc>
          <w:tcPr>
            <w:tcW w:w="3817" w:type="dxa"/>
          </w:tcPr>
          <w:p w14:paraId="410BE355" w14:textId="19306727" w:rsidR="00811090" w:rsidRDefault="00A46DB0">
            <w:pPr>
              <w:spacing w:after="240"/>
            </w:pPr>
            <w:r>
              <w:t>Katrina Sharon Knowles</w:t>
            </w:r>
          </w:p>
          <w:p w14:paraId="001D0209" w14:textId="77777777" w:rsidR="00811090" w:rsidRDefault="00811090" w:rsidP="00A46DB0">
            <w:pPr>
              <w:spacing w:after="240"/>
            </w:pPr>
          </w:p>
        </w:tc>
        <w:tc>
          <w:tcPr>
            <w:tcW w:w="2373" w:type="dxa"/>
          </w:tcPr>
          <w:p w14:paraId="73E3B1B0"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77777777" w:rsidR="00811090" w:rsidRDefault="00F12091">
            <w:pPr>
              <w:pBdr>
                <w:top w:val="nil"/>
                <w:left w:val="nil"/>
                <w:bottom w:val="nil"/>
                <w:right w:val="nil"/>
                <w:between w:val="nil"/>
              </w:pBdr>
              <w:spacing w:after="240" w:line="312" w:lineRule="auto"/>
              <w:rPr>
                <w:color w:val="000000"/>
              </w:rPr>
            </w:pPr>
            <w:r>
              <w:rPr>
                <w:b/>
                <w:color w:val="000000"/>
              </w:rPr>
              <w:t>IN ATTENDANCE</w:t>
            </w:r>
            <w:r>
              <w:rPr>
                <w:color w:val="000000"/>
              </w:rPr>
              <w:t>:</w:t>
            </w: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090713A5"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A46DB0">
        <w:rPr>
          <w:color w:val="000000"/>
        </w:rPr>
        <w:t>s</w:t>
      </w:r>
      <w:r>
        <w:rPr>
          <w:color w:val="000000"/>
        </w:rPr>
        <w:t xml:space="preserve"> present declared the nature and extent of </w:t>
      </w:r>
      <w:r w:rsidR="00A46DB0">
        <w:rPr>
          <w:color w:val="000000"/>
        </w:rPr>
        <w:t>t</w:t>
      </w:r>
      <w:r>
        <w:t>he</w:t>
      </w:r>
      <w:r w:rsidR="00A46DB0">
        <w:t>i</w:t>
      </w:r>
      <w:r>
        <w:t>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57F3A78E"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to approve:</w:t>
      </w:r>
    </w:p>
    <w:p w14:paraId="5FEEB13B"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p>
    <w:p w14:paraId="6311FF2C"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pPr>
        <w:numPr>
          <w:ilvl w:val="1"/>
          <w:numId w:val="2"/>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6DBCC017"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A46DB0">
        <w:rPr>
          <w:color w:val="000000"/>
        </w:rPr>
        <w:t>2,2</w:t>
      </w:r>
      <w:r w:rsidR="00003EA4">
        <w:rPr>
          <w:color w:val="000000"/>
        </w:rPr>
        <w:t>00</w:t>
      </w:r>
      <w:r>
        <w:rPr>
          <w:color w:val="000000"/>
        </w:rPr>
        <w:t xml:space="preserve"> to be made between the Trustees </w:t>
      </w:r>
      <w:r w:rsidR="00003EA4">
        <w:rPr>
          <w:color w:val="000000"/>
        </w:rPr>
        <w:t xml:space="preserve">of the </w:t>
      </w:r>
      <w:r w:rsidR="00A46DB0">
        <w:rPr>
          <w:color w:val="000000"/>
        </w:rPr>
        <w:t>Aptus</w:t>
      </w:r>
      <w:r w:rsidR="00003EA4">
        <w:rPr>
          <w:color w:val="000000"/>
        </w:rPr>
        <w:t xml:space="preserve"> Pension Scheme </w:t>
      </w:r>
      <w:r>
        <w:rPr>
          <w:color w:val="000000"/>
        </w:rPr>
        <w:t>as lender and the Company as borrower</w:t>
      </w:r>
      <w:r w:rsidR="00A46DB0">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CONSIDERATION</w:t>
      </w:r>
    </w:p>
    <w:p w14:paraId="1E84BEF0" w14:textId="5876B11A"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087B7C63"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045FA4F4"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lastRenderedPageBreak/>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4F46A7E1" w:rsidR="00811090" w:rsidRDefault="00A46DB0">
      <w:pPr>
        <w:rPr>
          <w:b/>
        </w:rPr>
      </w:pPr>
      <w:r>
        <w:rPr>
          <w:b/>
        </w:rPr>
        <w:t>Derek Knowles</w:t>
      </w:r>
      <w:r w:rsidR="005853C9">
        <w:rPr>
          <w:b/>
        </w:rPr>
        <w:tab/>
      </w:r>
      <w:r w:rsidR="005853C9">
        <w:rPr>
          <w:b/>
        </w:rPr>
        <w:tab/>
      </w:r>
      <w:r w:rsidR="005853C9">
        <w:rPr>
          <w:b/>
        </w:rPr>
        <w:tab/>
      </w:r>
      <w:r w:rsidR="005853C9">
        <w:rPr>
          <w:b/>
        </w:rPr>
        <w:tab/>
      </w:r>
      <w:r w:rsidR="005853C9">
        <w:rPr>
          <w:b/>
        </w:rPr>
        <w:tab/>
      </w:r>
      <w:r w:rsidR="005853C9">
        <w:rPr>
          <w:b/>
        </w:rPr>
        <w:tab/>
      </w:r>
      <w:r>
        <w:rPr>
          <w:b/>
        </w:rPr>
        <w:tab/>
        <w:t>Katrina Sharon Knowles</w:t>
      </w:r>
    </w:p>
    <w:p w14:paraId="26C4B2B9" w14:textId="6C431561" w:rsidR="007E6646" w:rsidRDefault="007E6646">
      <w:pPr>
        <w:rPr>
          <w:b/>
        </w:rPr>
      </w:pPr>
      <w:r>
        <w:rPr>
          <w:b/>
        </w:rPr>
        <w:t>Director</w:t>
      </w:r>
      <w:r>
        <w:rPr>
          <w:b/>
        </w:rPr>
        <w:tab/>
      </w:r>
      <w:r>
        <w:rPr>
          <w:b/>
        </w:rPr>
        <w:tab/>
      </w:r>
      <w:r>
        <w:rPr>
          <w:b/>
        </w:rPr>
        <w:tab/>
      </w:r>
      <w:r>
        <w:rPr>
          <w:b/>
        </w:rPr>
        <w:tab/>
      </w:r>
      <w:r>
        <w:rPr>
          <w:b/>
        </w:rPr>
        <w:tab/>
      </w:r>
      <w:r>
        <w:rPr>
          <w:b/>
        </w:rPr>
        <w:tab/>
      </w:r>
      <w:r>
        <w:rPr>
          <w:b/>
        </w:rPr>
        <w:tab/>
      </w:r>
      <w:r>
        <w:rPr>
          <w:b/>
        </w:rPr>
        <w:tab/>
        <w:t>Director</w:t>
      </w:r>
    </w:p>
    <w:sectPr w:rsidR="007E664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E6B2C" w14:textId="77777777" w:rsidR="00B16800" w:rsidRDefault="00B16800">
      <w:r>
        <w:separator/>
      </w:r>
    </w:p>
  </w:endnote>
  <w:endnote w:type="continuationSeparator" w:id="0">
    <w:p w14:paraId="5D72E2E9" w14:textId="77777777" w:rsidR="00B16800" w:rsidRDefault="00B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1BD6" w14:textId="5BC449B2"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25BA" w14:textId="77777777" w:rsidR="00B16800" w:rsidRDefault="00B16800">
      <w:r>
        <w:separator/>
      </w:r>
    </w:p>
  </w:footnote>
  <w:footnote w:type="continuationSeparator" w:id="0">
    <w:p w14:paraId="70C9567B" w14:textId="77777777" w:rsidR="00B16800" w:rsidRDefault="00B1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03EA4"/>
    <w:rsid w:val="002D347B"/>
    <w:rsid w:val="005853C9"/>
    <w:rsid w:val="006E1CC3"/>
    <w:rsid w:val="007A03F4"/>
    <w:rsid w:val="007E6646"/>
    <w:rsid w:val="00811090"/>
    <w:rsid w:val="00A46DB0"/>
    <w:rsid w:val="00B16800"/>
    <w:rsid w:val="00C27902"/>
    <w:rsid w:val="00F1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6</cp:revision>
  <dcterms:created xsi:type="dcterms:W3CDTF">2019-03-25T15:19:00Z</dcterms:created>
  <dcterms:modified xsi:type="dcterms:W3CDTF">2020-11-05T10:31:00Z</dcterms:modified>
</cp:coreProperties>
</file>