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Trustees Resolution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A.C. Marriott LTD. (the “Sponsoring Employer”) established a small self-administered scheme governed by a Trust Deed dated 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November 2014 and all subsequent amendments (the “Existing Provisions”).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Trustees have consented to the wind up of the A C Marriott Retirement Benefits Scheme (the "Scheme"), given that the Scheme no longer has any assets or liabilities held under trust.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Pursuant to Clause 33 of the governing Trust Deed, the Trustees of the Scheme have resolved that: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Trust will be wound up, having no assets or liabilities to be discharged.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Scheme Administrator is instructed to: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 to HMRC the wind up of the Scheme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Remove the Scheme from Pension Schemes On-Line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Close all banking and investment schemes that have been established to accept contributions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Disclose to the Pensions Regulator the wind up of the Scheme in accordance with their requirements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Disclose to the DP Registrar that the Administrator is no longer a data controller for the purposes of the Act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Signed:</w:t>
        <w:tab/>
        <w:tab/>
        <w:tab/>
        <w:tab/>
        <w:tab/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Trustee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Lisa Marie Marriott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Trustee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Anthony Colin Marriott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JVlyglJQoVU99ynQw2W7M7vBIw==">CgMxLjA4AHIhMWZqN0VHUzVTT2tMMFZXMUEzaFFVZi1GVklRc0pCeVRa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2024-03-12T12:32:00Z</dcterms:created>
  <dc:creator>gavinmcc</dc:creator>
</cp:coreProperties>
</file>