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Practitioner Services and Online Agreement</w:t>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Between </w:t>
      </w:r>
      <w:r w:rsidDel="00000000" w:rsidR="00000000" w:rsidRPr="00000000">
        <w:rPr>
          <w:rFonts w:ascii="Arial" w:cs="Arial" w:eastAsia="Arial" w:hAnsi="Arial"/>
          <w:sz w:val="20"/>
          <w:szCs w:val="20"/>
          <w:rtl w:val="0"/>
        </w:rPr>
        <w:t xml:space="preserve">Sir Aubrey Brocklebank as Trustee of the A B &amp; A Pension Fund (where there are one or more persons are collectively, the "</w:t>
      </w:r>
      <w:r w:rsidDel="00000000" w:rsidR="00000000" w:rsidRPr="00000000">
        <w:rPr>
          <w:rFonts w:ascii="Arial" w:cs="Arial" w:eastAsia="Arial" w:hAnsi="Arial"/>
          <w:b w:val="1"/>
          <w:sz w:val="20"/>
          <w:szCs w:val="20"/>
          <w:rtl w:val="0"/>
        </w:rPr>
        <w:t xml:space="preserve">Trustees</w:t>
      </w:r>
      <w:r w:rsidDel="00000000" w:rsidR="00000000" w:rsidRPr="00000000">
        <w:rPr>
          <w:rFonts w:ascii="Arial" w:cs="Arial" w:eastAsia="Arial" w:hAnsi="Arial"/>
          <w:sz w:val="20"/>
          <w:szCs w:val="20"/>
          <w:rtl w:val="0"/>
        </w:rPr>
        <w:t xml:space="preserve">" and each of them a "</w:t>
      </w:r>
      <w:r w:rsidDel="00000000" w:rsidR="00000000" w:rsidRPr="00000000">
        <w:rPr>
          <w:rFonts w:ascii="Arial" w:cs="Arial" w:eastAsia="Arial" w:hAnsi="Arial"/>
          <w:b w:val="1"/>
          <w:sz w:val="20"/>
          <w:szCs w:val="20"/>
          <w:rtl w:val="0"/>
        </w:rPr>
        <w:t xml:space="preserve">Trustee</w:t>
      </w:r>
      <w:r w:rsidDel="00000000" w:rsidR="00000000" w:rsidRPr="00000000">
        <w:rPr>
          <w:rFonts w:ascii="Arial" w:cs="Arial" w:eastAsia="Arial" w:hAnsi="Arial"/>
          <w:sz w:val="20"/>
          <w:szCs w:val="20"/>
          <w:rtl w:val="0"/>
        </w:rPr>
        <w:t xml:space="preserve">"); and Platform Administration LP operator of the administration and technology platform known as Retirement Capital whose registered address is situate at 1st Floor, World Trade Centre, Bayside Road, GX11 1AA (the "</w:t>
      </w:r>
      <w:r w:rsidDel="00000000" w:rsidR="00000000" w:rsidRPr="00000000">
        <w:rPr>
          <w:rFonts w:ascii="Arial" w:cs="Arial" w:eastAsia="Arial" w:hAnsi="Arial"/>
          <w:b w:val="1"/>
          <w:sz w:val="20"/>
          <w:szCs w:val="20"/>
          <w:rtl w:val="0"/>
        </w:rPr>
        <w:t xml:space="preserve">Supplier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WHEREAS:</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The Scheme is governed by a deed made between the Principal Employer and the Trustees.</w:t>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The Supplier provides services (the "</w:t>
      </w:r>
      <w:r w:rsidDel="00000000" w:rsidR="00000000" w:rsidRPr="00000000">
        <w:rPr>
          <w:rFonts w:ascii="Arial" w:cs="Arial" w:eastAsia="Arial" w:hAnsi="Arial"/>
          <w:b w:val="1"/>
          <w:sz w:val="20"/>
          <w:szCs w:val="20"/>
          <w:rtl w:val="0"/>
        </w:rPr>
        <w:t xml:space="preserve">Services</w:t>
      </w:r>
      <w:r w:rsidDel="00000000" w:rsidR="00000000" w:rsidRPr="00000000">
        <w:rPr>
          <w:rFonts w:ascii="Arial" w:cs="Arial" w:eastAsia="Arial" w:hAnsi="Arial"/>
          <w:sz w:val="20"/>
          <w:szCs w:val="20"/>
          <w:rtl w:val="0"/>
        </w:rPr>
        <w:t xml:space="preserve">") set out in this Agreement.</w:t>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Trustees will appoint the Supplier to carry out the services as set out in this agreement to the Trustees</w:t>
      </w:r>
    </w:p>
    <w:p w:rsidR="00000000" w:rsidDel="00000000" w:rsidP="00000000" w:rsidRDefault="00000000" w:rsidRPr="00000000" w14:paraId="00000008">
      <w:pPr>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D. </w:t>
      </w:r>
      <w:r w:rsidDel="00000000" w:rsidR="00000000" w:rsidRPr="00000000">
        <w:rPr>
          <w:rFonts w:ascii="Arial" w:cs="Arial" w:eastAsia="Arial" w:hAnsi="Arial"/>
          <w:b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Where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SERVICES</w:t>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Establishment of a Scheme</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will provide a draft trust deed and rules (the "</w:t>
      </w:r>
      <w:r w:rsidDel="00000000" w:rsidR="00000000" w:rsidRPr="00000000">
        <w:rPr>
          <w:rFonts w:ascii="Arial" w:cs="Arial" w:eastAsia="Arial" w:hAnsi="Arial"/>
          <w:b w:val="1"/>
          <w:sz w:val="20"/>
          <w:szCs w:val="20"/>
          <w:rtl w:val="0"/>
        </w:rPr>
        <w:t xml:space="preserve">Scheme Deed</w:t>
      </w:r>
      <w:r w:rsidDel="00000000" w:rsidR="00000000" w:rsidRPr="00000000">
        <w:rPr>
          <w:rFonts w:ascii="Arial" w:cs="Arial" w:eastAsia="Arial" w:hAnsi="Arial"/>
          <w:sz w:val="20"/>
          <w:szCs w:val="20"/>
          <w:rtl w:val="0"/>
        </w:rPr>
        <w:t xml:space="preserve">" and "</w:t>
      </w:r>
      <w:r w:rsidDel="00000000" w:rsidR="00000000" w:rsidRPr="00000000">
        <w:rPr>
          <w:rFonts w:ascii="Arial" w:cs="Arial" w:eastAsia="Arial" w:hAnsi="Arial"/>
          <w:b w:val="1"/>
          <w:sz w:val="20"/>
          <w:szCs w:val="20"/>
          <w:rtl w:val="0"/>
        </w:rPr>
        <w:t xml:space="preserve">Scheme Rules</w:t>
      </w:r>
      <w:r w:rsidDel="00000000" w:rsidR="00000000" w:rsidRPr="00000000">
        <w:rPr>
          <w:rFonts w:ascii="Arial" w:cs="Arial" w:eastAsia="Arial" w:hAnsi="Arial"/>
          <w:sz w:val="20"/>
          <w:szCs w:val="20"/>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Takeover of a Scheme</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Supplier will provide a draft trust deed of amendment together with the associated documents necessary to takeover the provision of certain services from a transferring provider. The Supplier will provide the necessary document to establish a scheme</w:t>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In the case of a Scheme Establishment or a Scheme Takeover, unless otherwise notified by the Trustees, a designated Trustee will be the Scheme Administrator for HM Revenue &amp; Customs (HMRC) purposes.</w:t>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The designated Trustee who shall be the Scheme Administrator is:Sir Aubrey Brocklebank </w:t>
        <w:br w:type="textWrapping"/>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Online Requirements</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Trustees appoint The Supplier to undertake on behalf of the Trustees and Registered Administrator online registration with HMRC.</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Trustees as the Scheme Administrator, hereby authorises the Supplier to complete on their behalf; (i) the online registration of the Scheme with HMRC; and (ii) each Trustee's online registration as Scheme Administrator with HMRC including the following declarations:</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of the Trustees further declares that: </w:t>
      </w:r>
    </w:p>
    <w:p w:rsidR="00000000" w:rsidDel="00000000" w:rsidP="00000000" w:rsidRDefault="00000000" w:rsidRPr="00000000" w14:paraId="0000001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Operation of the Scheme</w:t>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Technical updates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ICO Registration and Pensions Regulator Registration and maintenance</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Calculation of Benefits</w:t>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Payment of Pensions</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Online Platform</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Trustees shall use the Platform and the information contained therein for the stated purposes only set out in the Schedules. </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Fees, and Charges</w:t>
      </w:r>
    </w:p>
    <w:p w:rsidR="00000000" w:rsidDel="00000000" w:rsidP="00000000" w:rsidRDefault="00000000" w:rsidRPr="00000000" w14:paraId="0000003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Scheme Bank Account</w:t>
      </w:r>
    </w:p>
    <w:p w:rsidR="00000000" w:rsidDel="00000000" w:rsidP="00000000" w:rsidRDefault="00000000" w:rsidRPr="00000000" w14:paraId="0000003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3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Data Protection</w:t>
      </w:r>
    </w:p>
    <w:p w:rsidR="00000000" w:rsidDel="00000000" w:rsidP="00000000" w:rsidRDefault="00000000" w:rsidRPr="00000000" w14:paraId="0000003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Supplier and the Trustees agree to be bound by the GDRP Policy set out in Schedule 2.</w:t>
      </w:r>
    </w:p>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Novation, Amendment and Termination</w:t>
      </w:r>
    </w:p>
    <w:p w:rsidR="00000000" w:rsidDel="00000000" w:rsidP="00000000" w:rsidRDefault="00000000" w:rsidRPr="00000000" w14:paraId="0000004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4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Liability</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General</w:t>
      </w:r>
    </w:p>
    <w:p w:rsidR="00000000" w:rsidDel="00000000" w:rsidP="00000000" w:rsidRDefault="00000000" w:rsidRPr="00000000" w14:paraId="0000005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Signed by the Trustee:</w:t>
      </w:r>
    </w:p>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 1:____________________</w:t>
      </w:r>
    </w:p>
    <w:p w:rsidR="00000000" w:rsidDel="00000000" w:rsidP="00000000" w:rsidRDefault="00000000" w:rsidRPr="00000000" w14:paraId="0000005F">
      <w:pPr>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bookmarkStart w:colFirst="0" w:colLast="0" w:name="_heading=h.2d22ejydx85f" w:id="1"/>
      <w:bookmarkEnd w:id="1"/>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bookmarkStart w:colFirst="0" w:colLast="0" w:name="_heading=h.yi2zqer9nbj0" w:id="2"/>
      <w:bookmarkEnd w:id="2"/>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1 – Fees</w:t>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£900.00 p.a.  from the date of this agreement shall be paid by the Trustees to the Supplier for the provision of services set out in this agreement.</w:t>
      </w:r>
    </w:p>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0"/>
          <w:szCs w:val="20"/>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OoQKJz64Ej5wW2TFBBeakz1nw==">AMUW2mXxz53AcQpSXGy56TAoanV5sw2ZisiTysrBLrRVY0Zn2Qhb64Uo0zIRCj0BZzONVpSXqhrkFORJ9qxjH8kO+HKhpaPjFJ+Dt0Wzk4Zkb8oPvbRwQjtoA/S4jEKr9QzCCcrc7OjJ1BfDm7pqr26EPM5pXeQXDOQdK00hGCInqIAnCS+ExBM=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2019-07-24T08:11:00Z</dcterms:created>
</cp:coreProperties>
</file>